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34E224" w14:textId="77777777" w:rsidR="00716598" w:rsidRPr="00816A97" w:rsidRDefault="00716598" w:rsidP="00716598">
      <w:pPr>
        <w:pStyle w:val="3GPPHeader"/>
        <w:spacing w:after="60"/>
        <w:rPr>
          <w:sz w:val="32"/>
          <w:szCs w:val="32"/>
          <w:highlight w:val="yellow"/>
        </w:rPr>
      </w:pPr>
      <w:r w:rsidRPr="002B797D">
        <w:t>3GPP TSG-RAN WG1 Meeting #96</w:t>
      </w:r>
      <w:r w:rsidRPr="002B797D">
        <w:tab/>
      </w:r>
      <w:proofErr w:type="spellStart"/>
      <w:r w:rsidRPr="002B797D">
        <w:rPr>
          <w:sz w:val="32"/>
          <w:szCs w:val="32"/>
        </w:rPr>
        <w:t>Tdoc</w:t>
      </w:r>
      <w:proofErr w:type="spellEnd"/>
      <w:r w:rsidRPr="002B797D">
        <w:rPr>
          <w:sz w:val="32"/>
          <w:szCs w:val="32"/>
        </w:rPr>
        <w:t xml:space="preserve"> R1-</w:t>
      </w:r>
      <w:r w:rsidRPr="00816A97">
        <w:rPr>
          <w:sz w:val="32"/>
          <w:szCs w:val="32"/>
        </w:rPr>
        <w:t>1902935</w:t>
      </w:r>
    </w:p>
    <w:p w14:paraId="5DD45A30" w14:textId="77777777" w:rsidR="00716598" w:rsidRPr="00816A97" w:rsidRDefault="00716598" w:rsidP="00716598">
      <w:pPr>
        <w:pStyle w:val="3GPPHeader"/>
      </w:pPr>
      <w:r w:rsidRPr="00816A97">
        <w:t>Athens, Greece, 25</w:t>
      </w:r>
      <w:r w:rsidRPr="00816A97">
        <w:rPr>
          <w:vertAlign w:val="superscript"/>
        </w:rPr>
        <w:t>th</w:t>
      </w:r>
      <w:r w:rsidRPr="00816A97">
        <w:t xml:space="preserve"> February – 1</w:t>
      </w:r>
      <w:r w:rsidRPr="00816A97">
        <w:rPr>
          <w:vertAlign w:val="superscript"/>
        </w:rPr>
        <w:t>st</w:t>
      </w:r>
      <w:r w:rsidRPr="00816A97">
        <w:t xml:space="preserve"> </w:t>
      </w:r>
      <w:proofErr w:type="gramStart"/>
      <w:r w:rsidRPr="00816A97">
        <w:t>March,</w:t>
      </w:r>
      <w:proofErr w:type="gramEnd"/>
      <w:r w:rsidRPr="00816A97">
        <w:t xml:space="preserve"> 2019</w:t>
      </w:r>
    </w:p>
    <w:p w14:paraId="3694DED8" w14:textId="77777777" w:rsidR="00716598" w:rsidRPr="00816A97" w:rsidRDefault="00716598" w:rsidP="00716598">
      <w:pPr>
        <w:pStyle w:val="3GPPHeader"/>
        <w:spacing w:after="0"/>
        <w:rPr>
          <w:sz w:val="22"/>
        </w:rPr>
      </w:pPr>
      <w:r w:rsidRPr="00816A97">
        <w:rPr>
          <w:sz w:val="22"/>
        </w:rPr>
        <w:t>Agenda Item:</w:t>
      </w:r>
      <w:r w:rsidRPr="00816A97">
        <w:rPr>
          <w:sz w:val="22"/>
        </w:rPr>
        <w:tab/>
      </w:r>
      <w:r w:rsidRPr="00E46576">
        <w:rPr>
          <w:sz w:val="22"/>
        </w:rPr>
        <w:t>7.2.9.2</w:t>
      </w:r>
    </w:p>
    <w:p w14:paraId="0835E488" w14:textId="77777777" w:rsidR="00716598" w:rsidRPr="00816A97" w:rsidRDefault="00716598" w:rsidP="00716598">
      <w:pPr>
        <w:pStyle w:val="3GPPHeader"/>
        <w:spacing w:after="0"/>
        <w:rPr>
          <w:sz w:val="22"/>
        </w:rPr>
      </w:pPr>
      <w:r w:rsidRPr="00816A97">
        <w:rPr>
          <w:sz w:val="22"/>
        </w:rPr>
        <w:t>Source:</w:t>
      </w:r>
      <w:r w:rsidRPr="00816A97">
        <w:rPr>
          <w:sz w:val="22"/>
        </w:rPr>
        <w:tab/>
        <w:t>Ericsson</w:t>
      </w:r>
    </w:p>
    <w:p w14:paraId="168CE3A4" w14:textId="77777777" w:rsidR="00716598" w:rsidRPr="00780C43" w:rsidRDefault="00716598" w:rsidP="00716598">
      <w:pPr>
        <w:pStyle w:val="3GPPHeader"/>
        <w:spacing w:after="0"/>
        <w:rPr>
          <w:sz w:val="22"/>
          <w:lang w:val="en-GB"/>
        </w:rPr>
      </w:pPr>
      <w:r w:rsidRPr="00816A97">
        <w:rPr>
          <w:sz w:val="22"/>
        </w:rPr>
        <w:t>Title:</w:t>
      </w:r>
      <w:r w:rsidRPr="00816A97">
        <w:rPr>
          <w:sz w:val="22"/>
        </w:rPr>
        <w:tab/>
        <w:t>Techniques for UE Power Saving</w:t>
      </w:r>
    </w:p>
    <w:p w14:paraId="3605C0D4" w14:textId="77777777" w:rsidR="00716598" w:rsidRPr="00816A97" w:rsidRDefault="00716598" w:rsidP="00716598">
      <w:pPr>
        <w:pStyle w:val="3GPPHeader"/>
        <w:spacing w:after="0"/>
        <w:rPr>
          <w:sz w:val="22"/>
        </w:rPr>
      </w:pPr>
      <w:r w:rsidRPr="00816A97">
        <w:rPr>
          <w:sz w:val="22"/>
        </w:rPr>
        <w:t>Document for:</w:t>
      </w:r>
      <w:r w:rsidRPr="00816A97">
        <w:rPr>
          <w:sz w:val="22"/>
        </w:rPr>
        <w:tab/>
        <w:t>Discussion and Decision</w:t>
      </w:r>
    </w:p>
    <w:p w14:paraId="15C34BFA" w14:textId="77777777" w:rsidR="00716598" w:rsidRPr="00CE0424" w:rsidRDefault="00716598" w:rsidP="00716598">
      <w:pPr>
        <w:pStyle w:val="Heading1"/>
      </w:pPr>
      <w:r>
        <w:t>1</w:t>
      </w:r>
      <w:r>
        <w:tab/>
      </w:r>
      <w:r w:rsidRPr="00CE0424">
        <w:t>Introduction</w:t>
      </w:r>
    </w:p>
    <w:p w14:paraId="004669D3" w14:textId="17AFAE1B" w:rsidR="00716598" w:rsidRDefault="00716598" w:rsidP="00716598">
      <w:pPr>
        <w:pStyle w:val="BodyText"/>
      </w:pPr>
      <w:r w:rsidRPr="00816A97">
        <w:t xml:space="preserve">In </w:t>
      </w:r>
      <w:r>
        <w:t xml:space="preserve">this paper we </w:t>
      </w:r>
      <w:r w:rsidR="00101CC4">
        <w:t>discuss the following</w:t>
      </w:r>
      <w:r>
        <w:t xml:space="preserve"> techniques for UE power savings. </w:t>
      </w:r>
    </w:p>
    <w:p w14:paraId="4868994F" w14:textId="20D37687" w:rsidR="00101CC4" w:rsidRDefault="00101CC4" w:rsidP="00101CC4">
      <w:pPr>
        <w:pStyle w:val="BodyText"/>
        <w:numPr>
          <w:ilvl w:val="0"/>
          <w:numId w:val="9"/>
        </w:numPr>
      </w:pPr>
      <w:r>
        <w:t>Adaptation to variation in time in section 2</w:t>
      </w:r>
    </w:p>
    <w:p w14:paraId="2CE18D36" w14:textId="0E544348" w:rsidR="00101CC4" w:rsidRDefault="00101CC4" w:rsidP="00101CC4">
      <w:pPr>
        <w:pStyle w:val="BodyText"/>
        <w:numPr>
          <w:ilvl w:val="0"/>
          <w:numId w:val="9"/>
        </w:numPr>
      </w:pPr>
      <w:r>
        <w:t>Adaptation to DRX operation in section 3</w:t>
      </w:r>
    </w:p>
    <w:p w14:paraId="6B76CA45" w14:textId="32B1AEB0" w:rsidR="00101CC4" w:rsidRDefault="00101CC4" w:rsidP="00101CC4">
      <w:pPr>
        <w:pStyle w:val="BodyText"/>
        <w:numPr>
          <w:ilvl w:val="0"/>
          <w:numId w:val="9"/>
        </w:numPr>
      </w:pPr>
      <w:r>
        <w:t>WUS operation with CDRX in section 4</w:t>
      </w:r>
    </w:p>
    <w:p w14:paraId="65877671" w14:textId="111DD6A5" w:rsidR="00101CC4" w:rsidRDefault="00101CC4" w:rsidP="00101CC4">
      <w:pPr>
        <w:pStyle w:val="BodyText"/>
        <w:numPr>
          <w:ilvl w:val="0"/>
          <w:numId w:val="9"/>
        </w:numPr>
      </w:pPr>
      <w:r>
        <w:t>PDCCH-based WUS design in section 5</w:t>
      </w:r>
    </w:p>
    <w:p w14:paraId="40C02520" w14:textId="6FBFB54C" w:rsidR="00101CC4" w:rsidRDefault="00101CC4" w:rsidP="00101CC4">
      <w:pPr>
        <w:pStyle w:val="BodyText"/>
        <w:numPr>
          <w:ilvl w:val="0"/>
          <w:numId w:val="9"/>
        </w:numPr>
      </w:pPr>
      <w:r>
        <w:t>GTS and Reduced PDCCH monitoring in section 6</w:t>
      </w:r>
    </w:p>
    <w:p w14:paraId="289B0532" w14:textId="2EAF32C4" w:rsidR="00101CC4" w:rsidRDefault="00101CC4" w:rsidP="00101CC4">
      <w:pPr>
        <w:pStyle w:val="BodyText"/>
        <w:numPr>
          <w:ilvl w:val="0"/>
          <w:numId w:val="9"/>
        </w:numPr>
      </w:pPr>
      <w:r>
        <w:t>Adaptation to variation in frequency in section 7</w:t>
      </w:r>
    </w:p>
    <w:p w14:paraId="123B4AD8" w14:textId="6470A795" w:rsidR="00101CC4" w:rsidRPr="00816A97" w:rsidRDefault="00101CC4" w:rsidP="00101CC4">
      <w:pPr>
        <w:pStyle w:val="BodyText"/>
        <w:numPr>
          <w:ilvl w:val="0"/>
          <w:numId w:val="9"/>
        </w:numPr>
      </w:pPr>
      <w:r>
        <w:t>UE assistance information in section 8</w:t>
      </w:r>
    </w:p>
    <w:p w14:paraId="28567961" w14:textId="77777777" w:rsidR="00716598" w:rsidRDefault="00716598" w:rsidP="00716598">
      <w:pPr>
        <w:pStyle w:val="Heading1"/>
      </w:pPr>
      <w:bookmarkStart w:id="0" w:name="_Ref178064866"/>
      <w:r>
        <w:t>2</w:t>
      </w:r>
      <w:r>
        <w:tab/>
      </w:r>
      <w:bookmarkEnd w:id="0"/>
      <w:r>
        <w:t>Adaptation to variation in time</w:t>
      </w:r>
    </w:p>
    <w:p w14:paraId="187B3AC9" w14:textId="77777777" w:rsidR="00716598" w:rsidRPr="00816A97" w:rsidRDefault="00716598" w:rsidP="00716598">
      <w:pPr>
        <w:jc w:val="both"/>
        <w:rPr>
          <w:rFonts w:ascii="Arial" w:hAnsi="Arial" w:cs="Arial"/>
        </w:rPr>
      </w:pPr>
      <w:r w:rsidRPr="00816A97">
        <w:rPr>
          <w:rFonts w:ascii="Arial" w:hAnsi="Arial" w:cs="Arial"/>
        </w:rPr>
        <w:t>The following aspects are discussed</w:t>
      </w:r>
      <w:r>
        <w:rPr>
          <w:rFonts w:ascii="Arial" w:hAnsi="Arial" w:cs="Arial"/>
        </w:rPr>
        <w:t xml:space="preserve"> </w:t>
      </w:r>
      <w:proofErr w:type="spellStart"/>
      <w:r>
        <w:rPr>
          <w:rFonts w:ascii="Arial" w:hAnsi="Arial" w:cs="Arial"/>
        </w:rPr>
        <w:t>wrt</w:t>
      </w:r>
      <w:proofErr w:type="spellEnd"/>
      <w:r>
        <w:rPr>
          <w:rFonts w:ascii="Arial" w:hAnsi="Arial" w:cs="Arial"/>
        </w:rPr>
        <w:t xml:space="preserve"> variation in time</w:t>
      </w:r>
      <w:r w:rsidRPr="00816A97">
        <w:rPr>
          <w:rFonts w:ascii="Arial" w:hAnsi="Arial" w:cs="Arial"/>
        </w:rPr>
        <w:t xml:space="preserve">: cross-slot, same slot with restricted SLIVs, and multi-slot scheduling. </w:t>
      </w:r>
    </w:p>
    <w:p w14:paraId="4A8AE9E4" w14:textId="77777777" w:rsidR="00716598" w:rsidRDefault="00716598" w:rsidP="00716598">
      <w:pPr>
        <w:pStyle w:val="Heading2"/>
      </w:pPr>
      <w:r>
        <w:t>2.1 Cross-slot scheduling</w:t>
      </w:r>
    </w:p>
    <w:p w14:paraId="4E3BA47F" w14:textId="77777777" w:rsidR="00716598" w:rsidRDefault="00716598" w:rsidP="00716598">
      <w:pPr>
        <w:jc w:val="both"/>
        <w:rPr>
          <w:rFonts w:ascii="Arial" w:hAnsi="Arial" w:cs="Arial"/>
        </w:rPr>
      </w:pPr>
      <w:r w:rsidRPr="00816A97">
        <w:rPr>
          <w:rFonts w:ascii="Arial" w:hAnsi="Arial" w:cs="Arial"/>
        </w:rPr>
        <w:t xml:space="preserve">In NR, UE can be configured such that it can be scheduled using same-slot scheduling (e.g. minimum K0 =0) or cross-slot scheduling (e.g. K0 &gt;0). </w:t>
      </w:r>
      <w:r>
        <w:rPr>
          <w:rFonts w:ascii="Arial" w:hAnsi="Arial" w:cs="Arial"/>
        </w:rPr>
        <w:t>The procedure is depicted in Figure 1</w:t>
      </w:r>
      <w:r>
        <w:rPr>
          <w:rStyle w:val="IvDbodytextChar"/>
        </w:rPr>
        <w:t xml:space="preserve">. </w:t>
      </w:r>
    </w:p>
    <w:p w14:paraId="61227FB7" w14:textId="77777777" w:rsidR="00716598" w:rsidRDefault="00716598" w:rsidP="00716598">
      <w:pPr>
        <w:keepNext/>
        <w:jc w:val="center"/>
      </w:pPr>
      <w:r>
        <w:rPr>
          <w:rFonts w:ascii="Arial" w:hAnsi="Arial" w:cs="Arial"/>
          <w:noProof/>
        </w:rPr>
        <w:drawing>
          <wp:inline distT="0" distB="0" distL="0" distR="0" wp14:anchorId="213D6D89" wp14:editId="4C9FD72B">
            <wp:extent cx="3171825" cy="24098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71825" cy="2409825"/>
                    </a:xfrm>
                    <a:prstGeom prst="rect">
                      <a:avLst/>
                    </a:prstGeom>
                    <a:noFill/>
                    <a:ln>
                      <a:noFill/>
                    </a:ln>
                  </pic:spPr>
                </pic:pic>
              </a:graphicData>
            </a:graphic>
          </wp:inline>
        </w:drawing>
      </w:r>
    </w:p>
    <w:p w14:paraId="038A78AF" w14:textId="77777777" w:rsidR="00716598" w:rsidRPr="00816A97" w:rsidRDefault="00716598" w:rsidP="00716598">
      <w:pPr>
        <w:pStyle w:val="Caption"/>
        <w:jc w:val="both"/>
        <w:rPr>
          <w:rFonts w:ascii="Arial" w:hAnsi="Arial" w:cs="Arial"/>
        </w:rPr>
      </w:pPr>
      <w:r w:rsidRPr="00816A97">
        <w:t xml:space="preserve">Figure </w:t>
      </w:r>
      <w:r>
        <w:rPr>
          <w:noProof/>
        </w:rPr>
        <w:fldChar w:fldCharType="begin"/>
      </w:r>
      <w:r w:rsidRPr="00816A97">
        <w:rPr>
          <w:noProof/>
        </w:rPr>
        <w:instrText xml:space="preserve"> SEQ Figure \* ARABIC </w:instrText>
      </w:r>
      <w:r>
        <w:rPr>
          <w:noProof/>
        </w:rPr>
        <w:fldChar w:fldCharType="separate"/>
      </w:r>
      <w:r w:rsidRPr="00816A97">
        <w:rPr>
          <w:noProof/>
        </w:rPr>
        <w:t>1</w:t>
      </w:r>
      <w:r>
        <w:rPr>
          <w:noProof/>
        </w:rPr>
        <w:fldChar w:fldCharType="end"/>
      </w:r>
      <w:r w:rsidRPr="00816A97">
        <w:t>. Illustration of power consumption with same-slot scheduling vs. cross-slot scheduling.</w:t>
      </w:r>
    </w:p>
    <w:p w14:paraId="724485F2" w14:textId="77777777" w:rsidR="00716598" w:rsidRDefault="00716598" w:rsidP="00716598">
      <w:pPr>
        <w:jc w:val="both"/>
        <w:rPr>
          <w:rFonts w:ascii="Arial" w:hAnsi="Arial" w:cs="Arial"/>
        </w:rPr>
      </w:pPr>
      <w:r>
        <w:rPr>
          <w:rFonts w:ascii="Arial" w:hAnsi="Arial" w:cs="Arial"/>
        </w:rPr>
        <w:t xml:space="preserve">System-level evaluation results for cross-slot scheduling are shown in [3]. </w:t>
      </w:r>
    </w:p>
    <w:p w14:paraId="49D393D8" w14:textId="77777777" w:rsidR="00716598" w:rsidRPr="00816A97" w:rsidRDefault="00716598" w:rsidP="00716598">
      <w:pPr>
        <w:jc w:val="both"/>
        <w:rPr>
          <w:rFonts w:ascii="Arial" w:hAnsi="Arial" w:cs="Arial"/>
        </w:rPr>
      </w:pPr>
      <w:r>
        <w:rPr>
          <w:rFonts w:ascii="Arial" w:hAnsi="Arial" w:cs="Arial"/>
        </w:rPr>
        <w:lastRenderedPageBreak/>
        <w:t>The results indicate that a</w:t>
      </w:r>
      <w:r w:rsidRPr="007A0505">
        <w:rPr>
          <w:rFonts w:ascii="Arial" w:hAnsi="Arial" w:cs="Arial"/>
        </w:rPr>
        <w:t xml:space="preserve">lways using cross-slot scheduling negatively impacts scheduling delay and throughput, especially for minimum K0&gt;1. </w:t>
      </w:r>
      <w:r>
        <w:rPr>
          <w:rFonts w:ascii="Arial" w:hAnsi="Arial" w:cs="Arial"/>
        </w:rPr>
        <w:t>Therefore, m</w:t>
      </w:r>
      <w:r w:rsidRPr="007A0505">
        <w:rPr>
          <w:rFonts w:ascii="Arial" w:hAnsi="Arial" w:cs="Arial"/>
        </w:rPr>
        <w:t xml:space="preserve">echanisms for faster adaptation between cross-slot scheduling and regular scheduling are needed to address throughput impact.   </w:t>
      </w:r>
    </w:p>
    <w:p w14:paraId="54DB93EB" w14:textId="77777777" w:rsidR="00716598" w:rsidRPr="00795CB0" w:rsidRDefault="00716598" w:rsidP="00716598">
      <w:pPr>
        <w:jc w:val="both"/>
        <w:rPr>
          <w:rFonts w:ascii="Arial" w:hAnsi="Arial" w:cs="Arial"/>
        </w:rPr>
      </w:pPr>
      <w:r w:rsidRPr="008E40F5">
        <w:rPr>
          <w:rFonts w:ascii="Arial" w:hAnsi="Arial" w:cs="Arial"/>
        </w:rPr>
        <w:t xml:space="preserve">UE can begin monitoring PDCCH assuming the PDCCH can schedule PDSCH with a scheduling delay greater than a slot, but when the UE finds a PDCCH with a PDSCH assignment, it can then assume that subsequent PDCCHs can schedule PDSCH with smaller scheduling delay i.e. same slot. Then UE can switch back again </w:t>
      </w:r>
      <w:r>
        <w:rPr>
          <w:rFonts w:ascii="Arial" w:hAnsi="Arial" w:cs="Arial"/>
        </w:rPr>
        <w:t xml:space="preserve">after traffic burst ends, </w:t>
      </w:r>
      <w:r w:rsidRPr="008E40F5">
        <w:rPr>
          <w:rFonts w:ascii="Arial" w:hAnsi="Arial" w:cs="Arial"/>
        </w:rPr>
        <w:t xml:space="preserve">based on explicit NW indication or a timer. </w:t>
      </w:r>
      <w:r>
        <w:rPr>
          <w:rFonts w:ascii="Arial" w:hAnsi="Arial" w:cs="Arial"/>
        </w:rPr>
        <w:t xml:space="preserve">An example is shown in below Figure. </w:t>
      </w:r>
      <w:r w:rsidRPr="008E40F5">
        <w:rPr>
          <w:rFonts w:ascii="Arial" w:hAnsi="Arial" w:cs="Arial"/>
        </w:rPr>
        <w:t xml:space="preserve">Currently, the scheduling delays are indicated via RRC as part of time domain resource allocation pattern, along with SLIV values. </w:t>
      </w:r>
      <w:r w:rsidRPr="00795CB0">
        <w:rPr>
          <w:rFonts w:ascii="Arial" w:hAnsi="Arial" w:cs="Arial"/>
        </w:rPr>
        <w:t>Given this, to achieve cross- and same- slots scheduling, one possibility is to simply enable and disable some of the time domain resource allocation values based on the indication.</w:t>
      </w:r>
      <w:r>
        <w:rPr>
          <w:rFonts w:ascii="Arial" w:hAnsi="Arial" w:cs="Arial"/>
        </w:rPr>
        <w:t xml:space="preserve"> </w:t>
      </w:r>
    </w:p>
    <w:p w14:paraId="06C67F08" w14:textId="77777777" w:rsidR="00716598" w:rsidRDefault="00716598" w:rsidP="00716598">
      <w:pPr>
        <w:keepNext/>
        <w:jc w:val="center"/>
      </w:pPr>
      <w:r>
        <w:rPr>
          <w:noProof/>
        </w:rPr>
        <w:drawing>
          <wp:inline distT="0" distB="0" distL="0" distR="0" wp14:anchorId="2B0E6184" wp14:editId="61BFD713">
            <wp:extent cx="5962650" cy="10001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62650" cy="1000125"/>
                    </a:xfrm>
                    <a:prstGeom prst="rect">
                      <a:avLst/>
                    </a:prstGeom>
                    <a:noFill/>
                    <a:ln>
                      <a:noFill/>
                    </a:ln>
                  </pic:spPr>
                </pic:pic>
              </a:graphicData>
            </a:graphic>
          </wp:inline>
        </w:drawing>
      </w:r>
    </w:p>
    <w:p w14:paraId="08041586" w14:textId="77777777" w:rsidR="00716598" w:rsidRPr="008E40F5" w:rsidRDefault="00716598" w:rsidP="00716598">
      <w:pPr>
        <w:pStyle w:val="Caption"/>
        <w:jc w:val="both"/>
      </w:pPr>
      <w:r w:rsidRPr="008E40F5">
        <w:t xml:space="preserve">Figure </w:t>
      </w:r>
      <w:r>
        <w:rPr>
          <w:noProof/>
        </w:rPr>
        <w:fldChar w:fldCharType="begin"/>
      </w:r>
      <w:r w:rsidRPr="008E40F5">
        <w:rPr>
          <w:noProof/>
        </w:rPr>
        <w:instrText xml:space="preserve"> SEQ Figure \* ARABIC </w:instrText>
      </w:r>
      <w:r>
        <w:rPr>
          <w:noProof/>
        </w:rPr>
        <w:fldChar w:fldCharType="separate"/>
      </w:r>
      <w:r>
        <w:rPr>
          <w:noProof/>
        </w:rPr>
        <w:t>2</w:t>
      </w:r>
      <w:r>
        <w:rPr>
          <w:noProof/>
        </w:rPr>
        <w:fldChar w:fldCharType="end"/>
      </w:r>
      <w:r w:rsidRPr="008E40F5">
        <w:t xml:space="preserve">. Illustration of switching between cross-slot and same slot scheduling. </w:t>
      </w:r>
    </w:p>
    <w:p w14:paraId="1FBA7153" w14:textId="77777777" w:rsidR="00716598" w:rsidRPr="008E40F5" w:rsidRDefault="00716598" w:rsidP="00716598">
      <w:pPr>
        <w:jc w:val="both"/>
        <w:rPr>
          <w:rFonts w:ascii="Arial" w:hAnsi="Arial" w:cs="Arial"/>
        </w:rPr>
      </w:pPr>
      <w:r w:rsidRPr="008E40F5">
        <w:rPr>
          <w:rFonts w:ascii="Arial" w:hAnsi="Arial" w:cs="Arial"/>
        </w:rPr>
        <w:t xml:space="preserve">Based on the above discussion, we propose the following: </w:t>
      </w:r>
    </w:p>
    <w:p w14:paraId="4E9A471B" w14:textId="77777777" w:rsidR="00716598" w:rsidRPr="00795CB0" w:rsidRDefault="00716598" w:rsidP="00716598">
      <w:pPr>
        <w:pStyle w:val="Proposal"/>
        <w:numPr>
          <w:ilvl w:val="0"/>
          <w:numId w:val="4"/>
        </w:numPr>
        <w:tabs>
          <w:tab w:val="clear" w:pos="1304"/>
        </w:tabs>
        <w:spacing w:line="254" w:lineRule="auto"/>
        <w:ind w:left="1701" w:hanging="1701"/>
      </w:pPr>
      <w:bookmarkStart w:id="1" w:name="_Toc534988066"/>
      <w:bookmarkStart w:id="2" w:name="_Toc534988145"/>
      <w:bookmarkStart w:id="3" w:name="_Toc534988475"/>
      <w:bookmarkStart w:id="4" w:name="_Toc534989075"/>
      <w:bookmarkStart w:id="5" w:name="_Toc534989150"/>
      <w:bookmarkStart w:id="6" w:name="_Toc534989384"/>
      <w:bookmarkStart w:id="7" w:name="_Toc534989632"/>
      <w:bookmarkStart w:id="8" w:name="_Toc534988067"/>
      <w:bookmarkStart w:id="9" w:name="_Toc534988146"/>
      <w:bookmarkStart w:id="10" w:name="_Toc534988476"/>
      <w:bookmarkStart w:id="11" w:name="_Toc534989076"/>
      <w:bookmarkStart w:id="12" w:name="_Toc534989151"/>
      <w:bookmarkStart w:id="13" w:name="_Toc534989385"/>
      <w:bookmarkStart w:id="14" w:name="_Toc534989633"/>
      <w:bookmarkStart w:id="15" w:name="_Toc534988068"/>
      <w:bookmarkStart w:id="16" w:name="_Toc534988147"/>
      <w:bookmarkStart w:id="17" w:name="_Toc534988477"/>
      <w:bookmarkStart w:id="18" w:name="_Toc534989077"/>
      <w:bookmarkStart w:id="19" w:name="_Toc534989152"/>
      <w:bookmarkStart w:id="20" w:name="_Toc534989386"/>
      <w:bookmarkStart w:id="21" w:name="_Toc534989634"/>
      <w:bookmarkStart w:id="22" w:name="_Toc534988069"/>
      <w:bookmarkStart w:id="23" w:name="_Toc534988148"/>
      <w:bookmarkStart w:id="24" w:name="_Toc534988478"/>
      <w:bookmarkStart w:id="25" w:name="_Toc534989078"/>
      <w:bookmarkStart w:id="26" w:name="_Toc534989153"/>
      <w:bookmarkStart w:id="27" w:name="_Toc534989387"/>
      <w:bookmarkStart w:id="28" w:name="_Toc534989635"/>
      <w:bookmarkStart w:id="29" w:name="_Toc534988149"/>
      <w:bookmarkStart w:id="30" w:name="_Toc534988479"/>
      <w:bookmarkStart w:id="31" w:name="_Toc534989079"/>
      <w:bookmarkStart w:id="32" w:name="_Toc534989154"/>
      <w:bookmarkStart w:id="33" w:name="_Toc534989388"/>
      <w:bookmarkStart w:id="34" w:name="_Toc534989636"/>
      <w:bookmarkStart w:id="35" w:name="_Toc535000888"/>
      <w:bookmarkStart w:id="36" w:name="_Hlk534921089"/>
      <w:bookmarkStart w:id="37" w:name="_Toc1162335"/>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r w:rsidRPr="00795CB0">
        <w:t>Layer-1 based switching between cross and same-slot scheduling should be supported.</w:t>
      </w:r>
      <w:bookmarkEnd w:id="35"/>
      <w:bookmarkEnd w:id="37"/>
      <w:r w:rsidRPr="00795CB0">
        <w:t xml:space="preserve"> </w:t>
      </w:r>
    </w:p>
    <w:bookmarkEnd w:id="36"/>
    <w:p w14:paraId="0FA6BB5E" w14:textId="77777777" w:rsidR="00716598" w:rsidRDefault="00716598" w:rsidP="00716598">
      <w:pPr>
        <w:pStyle w:val="Heading2"/>
      </w:pPr>
      <w:r>
        <w:t xml:space="preserve">2.2 Same slot scheduling with restricted SLIVs </w:t>
      </w:r>
    </w:p>
    <w:p w14:paraId="0A6EAF7D" w14:textId="77777777" w:rsidR="00716598" w:rsidRPr="00795CB0" w:rsidRDefault="00716598" w:rsidP="00716598">
      <w:pPr>
        <w:jc w:val="both"/>
        <w:rPr>
          <w:rFonts w:ascii="Arial" w:hAnsi="Arial" w:cs="Arial"/>
        </w:rPr>
      </w:pPr>
      <w:r w:rsidRPr="00795CB0">
        <w:rPr>
          <w:rFonts w:ascii="Arial" w:hAnsi="Arial" w:cs="Arial"/>
        </w:rPr>
        <w:t xml:space="preserve">It is suggested that some explicit indication about the TDRA configuration employed by the NW or exclusion of some TDRA configuration can help the UE to achieve power savings. E.g., the first PDSCH symbol can start after several symbols from PDCCH reception to allow micro sleep or the PDCCH and assigned PDSCH are clustered together in time with predictable gaps in between during which UE can take advantage of microsleep. </w:t>
      </w:r>
    </w:p>
    <w:p w14:paraId="534EF393" w14:textId="77777777" w:rsidR="00716598" w:rsidRPr="00795CB0" w:rsidRDefault="00716598" w:rsidP="00716598">
      <w:pPr>
        <w:jc w:val="both"/>
        <w:rPr>
          <w:rFonts w:ascii="Arial" w:hAnsi="Arial" w:cs="Arial"/>
        </w:rPr>
      </w:pPr>
      <w:r w:rsidRPr="00795CB0">
        <w:rPr>
          <w:rFonts w:ascii="Arial" w:hAnsi="Arial" w:cs="Arial"/>
        </w:rPr>
        <w:t xml:space="preserve">An example </w:t>
      </w:r>
      <w:r>
        <w:rPr>
          <w:rFonts w:ascii="Arial" w:hAnsi="Arial" w:cs="Arial"/>
        </w:rPr>
        <w:t>of</w:t>
      </w:r>
      <w:r w:rsidRPr="00795CB0">
        <w:rPr>
          <w:rFonts w:ascii="Arial" w:hAnsi="Arial" w:cs="Arial"/>
        </w:rPr>
        <w:t xml:space="preserve"> same-slot </w:t>
      </w:r>
      <w:r>
        <w:rPr>
          <w:rFonts w:ascii="Arial" w:hAnsi="Arial" w:cs="Arial"/>
        </w:rPr>
        <w:t xml:space="preserve">scheduling </w:t>
      </w:r>
      <w:r w:rsidRPr="00795CB0">
        <w:rPr>
          <w:rFonts w:ascii="Arial" w:hAnsi="Arial" w:cs="Arial"/>
        </w:rPr>
        <w:t xml:space="preserve">with restricted SLIVs </w:t>
      </w:r>
      <w:r>
        <w:rPr>
          <w:rFonts w:ascii="Arial" w:hAnsi="Arial" w:cs="Arial"/>
        </w:rPr>
        <w:t xml:space="preserve">and opportunity of microsleep </w:t>
      </w:r>
      <w:r w:rsidRPr="00795CB0">
        <w:rPr>
          <w:rFonts w:ascii="Arial" w:hAnsi="Arial" w:cs="Arial"/>
        </w:rPr>
        <w:t xml:space="preserve">is </w:t>
      </w:r>
      <w:r>
        <w:rPr>
          <w:rFonts w:ascii="Arial" w:hAnsi="Arial" w:cs="Arial"/>
        </w:rPr>
        <w:t>shown in figure below</w:t>
      </w:r>
      <w:r w:rsidRPr="00795CB0">
        <w:rPr>
          <w:rFonts w:ascii="Arial" w:hAnsi="Arial" w:cs="Arial"/>
        </w:rPr>
        <w:t>. Th</w:t>
      </w:r>
      <w:r>
        <w:rPr>
          <w:rFonts w:ascii="Arial" w:hAnsi="Arial" w:cs="Arial"/>
        </w:rPr>
        <w:t>e SLIV restriction</w:t>
      </w:r>
      <w:r w:rsidRPr="00795CB0">
        <w:rPr>
          <w:rFonts w:ascii="Arial" w:hAnsi="Arial" w:cs="Arial"/>
        </w:rPr>
        <w:t xml:space="preserve"> can become a bit complicated for scheduler to handle </w:t>
      </w:r>
      <w:r>
        <w:rPr>
          <w:rFonts w:ascii="Arial" w:hAnsi="Arial" w:cs="Arial"/>
        </w:rPr>
        <w:t>as it would</w:t>
      </w:r>
      <w:r w:rsidRPr="00795CB0">
        <w:rPr>
          <w:rFonts w:ascii="Arial" w:hAnsi="Arial" w:cs="Arial"/>
        </w:rPr>
        <w:t xml:space="preserve"> be unable to schedule the user in the middle portion of the slot</w:t>
      </w:r>
      <w:r>
        <w:rPr>
          <w:rFonts w:ascii="Arial" w:hAnsi="Arial" w:cs="Arial"/>
        </w:rPr>
        <w:t>, leading to a throughput loss</w:t>
      </w:r>
      <w:r w:rsidRPr="00795CB0">
        <w:rPr>
          <w:rFonts w:ascii="Arial" w:hAnsi="Arial" w:cs="Arial"/>
        </w:rPr>
        <w:t xml:space="preserve">. Since most power savings gains can be achieved from cross-slot scheduling case, the gains by precluding a set of TDRA configurations or SLIVs </w:t>
      </w:r>
      <w:r>
        <w:rPr>
          <w:rFonts w:ascii="Arial" w:hAnsi="Arial" w:cs="Arial"/>
        </w:rPr>
        <w:t>in same-slot are</w:t>
      </w:r>
      <w:r w:rsidRPr="00795CB0">
        <w:rPr>
          <w:rFonts w:ascii="Arial" w:hAnsi="Arial" w:cs="Arial"/>
        </w:rPr>
        <w:t xml:space="preserve"> not clear.</w:t>
      </w:r>
    </w:p>
    <w:p w14:paraId="16E32BD7" w14:textId="77777777" w:rsidR="00716598" w:rsidRDefault="00716598" w:rsidP="00716598">
      <w:pPr>
        <w:keepNext/>
        <w:jc w:val="center"/>
      </w:pPr>
      <w:r>
        <w:rPr>
          <w:noProof/>
        </w:rPr>
        <w:drawing>
          <wp:inline distT="0" distB="0" distL="0" distR="0" wp14:anchorId="17AAD0BE" wp14:editId="0F16BE87">
            <wp:extent cx="3364992" cy="1371600"/>
            <wp:effectExtent l="0" t="0" r="698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64992" cy="1371600"/>
                    </a:xfrm>
                    <a:prstGeom prst="rect">
                      <a:avLst/>
                    </a:prstGeom>
                    <a:noFill/>
                  </pic:spPr>
                </pic:pic>
              </a:graphicData>
            </a:graphic>
          </wp:inline>
        </w:drawing>
      </w:r>
    </w:p>
    <w:p w14:paraId="24159DFD" w14:textId="77777777" w:rsidR="00716598" w:rsidRPr="008E40F5" w:rsidRDefault="00716598" w:rsidP="00716598">
      <w:pPr>
        <w:pStyle w:val="Caption"/>
        <w:jc w:val="center"/>
        <w:rPr>
          <w:rFonts w:ascii="Arial" w:hAnsi="Arial" w:cs="Arial"/>
        </w:rPr>
      </w:pPr>
      <w:r w:rsidRPr="008E40F5">
        <w:t xml:space="preserve">Figure </w:t>
      </w:r>
      <w:r>
        <w:rPr>
          <w:noProof/>
        </w:rPr>
        <w:fldChar w:fldCharType="begin"/>
      </w:r>
      <w:r w:rsidRPr="008E40F5">
        <w:rPr>
          <w:noProof/>
        </w:rPr>
        <w:instrText xml:space="preserve"> SEQ Figure \* ARABIC </w:instrText>
      </w:r>
      <w:r>
        <w:rPr>
          <w:noProof/>
        </w:rPr>
        <w:fldChar w:fldCharType="separate"/>
      </w:r>
      <w:r w:rsidRPr="008E40F5">
        <w:rPr>
          <w:noProof/>
        </w:rPr>
        <w:t>4</w:t>
      </w:r>
      <w:r>
        <w:rPr>
          <w:noProof/>
        </w:rPr>
        <w:fldChar w:fldCharType="end"/>
      </w:r>
      <w:r w:rsidRPr="008E40F5">
        <w:t>. Illustration of power consumption with cross-slot scheduling and reduced TDRA configuration in same slot.</w:t>
      </w:r>
    </w:p>
    <w:p w14:paraId="6C5AC64E" w14:textId="77777777" w:rsidR="00716598" w:rsidRDefault="00716598" w:rsidP="00716598">
      <w:pPr>
        <w:pStyle w:val="Observation"/>
        <w:numPr>
          <w:ilvl w:val="0"/>
          <w:numId w:val="5"/>
        </w:numPr>
        <w:spacing w:line="254" w:lineRule="auto"/>
        <w:ind w:left="1701" w:hanging="1701"/>
        <w:rPr>
          <w:lang w:val="en-GB"/>
        </w:rPr>
      </w:pPr>
      <w:bookmarkStart w:id="38" w:name="_Toc1162348"/>
      <w:r w:rsidRPr="00816A97">
        <w:t xml:space="preserve">TDRA adaptation with </w:t>
      </w:r>
      <w:r>
        <w:t xml:space="preserve">same-slot scheduling and </w:t>
      </w:r>
      <w:r w:rsidRPr="00816A97">
        <w:t xml:space="preserve">restricted SLIVs </w:t>
      </w:r>
      <w:r w:rsidRPr="00795CB0">
        <w:t>increases scheduler restrictions</w:t>
      </w:r>
      <w:r>
        <w:t xml:space="preserve"> and can lead to throughput loss</w:t>
      </w:r>
      <w:r w:rsidRPr="00795CB0">
        <w:t>.</w:t>
      </w:r>
      <w:bookmarkEnd w:id="38"/>
    </w:p>
    <w:p w14:paraId="71767E8B" w14:textId="77777777" w:rsidR="00716598" w:rsidRDefault="00716598" w:rsidP="00716598">
      <w:pPr>
        <w:pStyle w:val="Heading2"/>
      </w:pPr>
      <w:bookmarkStart w:id="39" w:name="_Hlk1137291"/>
      <w:r>
        <w:lastRenderedPageBreak/>
        <w:t xml:space="preserve">2.3 Multi-slot scheduling </w:t>
      </w:r>
    </w:p>
    <w:bookmarkEnd w:id="39"/>
    <w:p w14:paraId="69E17D06" w14:textId="77777777" w:rsidR="00716598" w:rsidRPr="00795CB0" w:rsidRDefault="00716598" w:rsidP="00716598">
      <w:pPr>
        <w:jc w:val="both"/>
        <w:rPr>
          <w:rFonts w:ascii="Arial" w:hAnsi="Arial" w:cs="Arial"/>
        </w:rPr>
      </w:pPr>
      <w:r w:rsidRPr="008E40F5">
        <w:rPr>
          <w:rFonts w:ascii="Arial" w:hAnsi="Arial" w:cs="Arial"/>
        </w:rPr>
        <w:t xml:space="preserve">Multi-slot scheduling can be considered as a power savings technique if the NW schedules the UE for several slots at once and do not schedule anything else in between. </w:t>
      </w:r>
      <w:r w:rsidRPr="00795CB0">
        <w:rPr>
          <w:rFonts w:ascii="Arial" w:hAnsi="Arial" w:cs="Arial"/>
        </w:rPr>
        <w:t>While this can reduce PDCCH monitoring in some slots, it is not clear if there are any UE power savings gains if the UE is anyway awake and receiving PDSCH in those slots, which according to the agreed power consumption model consumes ~300 units compared to deep sleep state of 1 unit (note: PDCCH-only, w/o PDSCH in the same-slot, consumes 100 units). It is of course well-acknowledged that multi-slot scheduling can be useful in some scenarios due to reduced PDCCH overhead and blocking performance, but at least for this study</w:t>
      </w:r>
      <w:r>
        <w:rPr>
          <w:rFonts w:ascii="Arial" w:hAnsi="Arial" w:cs="Arial"/>
        </w:rPr>
        <w:t xml:space="preserve"> item</w:t>
      </w:r>
      <w:r w:rsidRPr="00795CB0">
        <w:rPr>
          <w:rFonts w:ascii="Arial" w:hAnsi="Arial" w:cs="Arial"/>
        </w:rPr>
        <w:t>, the power consumption benefits are not very clear</w:t>
      </w:r>
      <w:r>
        <w:rPr>
          <w:rFonts w:ascii="Arial" w:hAnsi="Arial" w:cs="Arial"/>
        </w:rPr>
        <w:t>.</w:t>
      </w:r>
    </w:p>
    <w:p w14:paraId="0A8649FE" w14:textId="5D0031D1" w:rsidR="00716598" w:rsidRPr="00E46576" w:rsidRDefault="008B1135" w:rsidP="00716598">
      <w:pPr>
        <w:pStyle w:val="Observation"/>
        <w:numPr>
          <w:ilvl w:val="0"/>
          <w:numId w:val="5"/>
        </w:numPr>
        <w:spacing w:line="254" w:lineRule="auto"/>
        <w:ind w:left="1701" w:hanging="1701"/>
        <w:rPr>
          <w:lang w:val="en-GB"/>
        </w:rPr>
      </w:pPr>
      <w:bookmarkStart w:id="40" w:name="_Toc535000886"/>
      <w:bookmarkStart w:id="41" w:name="_Toc1162349"/>
      <w:r>
        <w:t>M</w:t>
      </w:r>
      <w:r w:rsidR="00716598" w:rsidRPr="00795CB0">
        <w:t xml:space="preserve">ulti-slot scheduling </w:t>
      </w:r>
      <w:r>
        <w:t>does not provide power saving gains</w:t>
      </w:r>
      <w:r w:rsidR="00716598" w:rsidRPr="00795CB0">
        <w:t xml:space="preserve"> since power savings in slots where UE skips PDCCH monitoring are offset by the power consumed for PDSCH reception in those slots.</w:t>
      </w:r>
      <w:bookmarkEnd w:id="40"/>
      <w:bookmarkEnd w:id="41"/>
    </w:p>
    <w:p w14:paraId="623472B1" w14:textId="77777777" w:rsidR="00716598" w:rsidRDefault="00716598" w:rsidP="00716598">
      <w:pPr>
        <w:pStyle w:val="Heading1"/>
      </w:pPr>
      <w:r>
        <w:t>3</w:t>
      </w:r>
      <w:r>
        <w:tab/>
        <w:t>Adaptation to DRX operation</w:t>
      </w:r>
    </w:p>
    <w:p w14:paraId="1120C9EB" w14:textId="77777777" w:rsidR="00716598" w:rsidRPr="00795CB0" w:rsidRDefault="00716598" w:rsidP="00716598">
      <w:pPr>
        <w:jc w:val="both"/>
        <w:rPr>
          <w:rFonts w:ascii="Arial" w:hAnsi="Arial"/>
          <w:lang w:eastAsia="zh-CN"/>
        </w:rPr>
      </w:pPr>
      <w:r w:rsidRPr="00795CB0">
        <w:rPr>
          <w:rFonts w:ascii="Arial" w:hAnsi="Arial"/>
          <w:lang w:eastAsia="zh-CN"/>
        </w:rPr>
        <w:t>An example of current DRX operation allowed in Rel-15 is shown in the below figure. The figure shows the start of the Inactivity timer (IAT) based on detected PDCCH</w:t>
      </w:r>
      <w:r>
        <w:rPr>
          <w:rFonts w:ascii="Arial" w:hAnsi="Arial"/>
          <w:lang w:eastAsia="zh-CN"/>
        </w:rPr>
        <w:t xml:space="preserve"> (scheduling data)</w:t>
      </w:r>
      <w:r w:rsidRPr="00795CB0">
        <w:rPr>
          <w:rFonts w:ascii="Arial" w:hAnsi="Arial"/>
          <w:lang w:eastAsia="zh-CN"/>
        </w:rPr>
        <w:t xml:space="preserve">, and upon its expiration the UE can go to sleep or to DRX. Additionally, Rel-15 also supports the case where a MAC command can be used to send the UE to sleep as shown in the figure. Thus, there are existing tools in current NR toolbox to address the case of UE power consumption increase due to mismatched large value setting for IAT.  </w:t>
      </w:r>
    </w:p>
    <w:p w14:paraId="31EEF924" w14:textId="77777777" w:rsidR="00716598" w:rsidRPr="00795CB0" w:rsidRDefault="00716598" w:rsidP="00716598">
      <w:pPr>
        <w:jc w:val="both"/>
        <w:rPr>
          <w:rFonts w:ascii="Arial" w:hAnsi="Arial"/>
          <w:lang w:eastAsia="zh-CN"/>
        </w:rPr>
      </w:pPr>
    </w:p>
    <w:p w14:paraId="37D89978" w14:textId="77777777" w:rsidR="00716598" w:rsidRDefault="00716598" w:rsidP="00716598">
      <w:pPr>
        <w:keepNext/>
        <w:jc w:val="center"/>
      </w:pPr>
      <w:r>
        <w:rPr>
          <w:rFonts w:ascii="Arial" w:hAnsi="Arial"/>
          <w:noProof/>
          <w:lang w:eastAsia="zh-CN"/>
        </w:rPr>
        <w:drawing>
          <wp:inline distT="0" distB="0" distL="0" distR="0" wp14:anchorId="7697E8AD" wp14:editId="3CC6386C">
            <wp:extent cx="4486275" cy="18478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86275" cy="1847850"/>
                    </a:xfrm>
                    <a:prstGeom prst="rect">
                      <a:avLst/>
                    </a:prstGeom>
                    <a:noFill/>
                    <a:ln>
                      <a:noFill/>
                    </a:ln>
                  </pic:spPr>
                </pic:pic>
              </a:graphicData>
            </a:graphic>
          </wp:inline>
        </w:drawing>
      </w:r>
    </w:p>
    <w:p w14:paraId="0B845DB3" w14:textId="77777777" w:rsidR="00716598" w:rsidRPr="00816A97" w:rsidRDefault="00716598" w:rsidP="00716598">
      <w:pPr>
        <w:pStyle w:val="Caption"/>
        <w:jc w:val="center"/>
        <w:rPr>
          <w:rFonts w:ascii="Arial" w:hAnsi="Arial"/>
          <w:lang w:eastAsia="zh-CN"/>
        </w:rPr>
      </w:pPr>
      <w:r w:rsidRPr="00816A97">
        <w:t xml:space="preserve">Figure </w:t>
      </w:r>
      <w:r>
        <w:rPr>
          <w:noProof/>
        </w:rPr>
        <w:fldChar w:fldCharType="begin"/>
      </w:r>
      <w:r w:rsidRPr="00816A97">
        <w:rPr>
          <w:noProof/>
        </w:rPr>
        <w:instrText xml:space="preserve"> SEQ Figure \* ARABIC </w:instrText>
      </w:r>
      <w:r>
        <w:rPr>
          <w:noProof/>
        </w:rPr>
        <w:fldChar w:fldCharType="separate"/>
      </w:r>
      <w:r w:rsidRPr="00816A97">
        <w:rPr>
          <w:noProof/>
        </w:rPr>
        <w:t>5</w:t>
      </w:r>
      <w:r>
        <w:rPr>
          <w:noProof/>
        </w:rPr>
        <w:fldChar w:fldCharType="end"/>
      </w:r>
      <w:r w:rsidRPr="00816A97">
        <w:t xml:space="preserve"> Illustration of DRX including DRX MAC command CE to send UE to DRX.</w:t>
      </w:r>
    </w:p>
    <w:p w14:paraId="700B4BFB" w14:textId="77777777" w:rsidR="00716598" w:rsidRPr="00816A97" w:rsidRDefault="00716598" w:rsidP="00716598">
      <w:pPr>
        <w:jc w:val="both"/>
        <w:rPr>
          <w:rFonts w:ascii="Arial" w:hAnsi="Arial"/>
          <w:lang w:eastAsia="zh-CN"/>
        </w:rPr>
      </w:pPr>
    </w:p>
    <w:p w14:paraId="7C6EBF9C" w14:textId="77777777" w:rsidR="00716598" w:rsidRDefault="00716598" w:rsidP="00716598">
      <w:pPr>
        <w:jc w:val="both"/>
        <w:rPr>
          <w:rFonts w:ascii="Arial" w:hAnsi="Arial"/>
          <w:lang w:eastAsia="zh-CN"/>
        </w:rPr>
      </w:pPr>
      <w:r>
        <w:rPr>
          <w:rFonts w:ascii="Arial" w:hAnsi="Arial"/>
          <w:lang w:eastAsia="zh-CN"/>
        </w:rPr>
        <w:t>P</w:t>
      </w:r>
      <w:r w:rsidRPr="008E40F5">
        <w:rPr>
          <w:rFonts w:ascii="Arial" w:hAnsi="Arial"/>
          <w:lang w:eastAsia="zh-CN"/>
        </w:rPr>
        <w:t xml:space="preserve">ower consumption due to large Inactivity timer or during </w:t>
      </w:r>
      <w:proofErr w:type="gramStart"/>
      <w:r w:rsidRPr="008E40F5">
        <w:rPr>
          <w:rFonts w:ascii="Arial" w:hAnsi="Arial"/>
          <w:lang w:eastAsia="zh-CN"/>
        </w:rPr>
        <w:t>On</w:t>
      </w:r>
      <w:proofErr w:type="gramEnd"/>
      <w:r w:rsidRPr="008E40F5">
        <w:rPr>
          <w:rFonts w:ascii="Arial" w:hAnsi="Arial"/>
          <w:lang w:eastAsia="zh-CN"/>
        </w:rPr>
        <w:t xml:space="preserve"> durations can be addressed via several techniques such as existing Rel-15 DRX MAC CE command, enhanced cross slot scheduling, and a wakeup signal design. </w:t>
      </w:r>
    </w:p>
    <w:p w14:paraId="3FB9C560" w14:textId="77777777" w:rsidR="00716598" w:rsidRPr="00795CB0" w:rsidRDefault="00716598" w:rsidP="00716598">
      <w:pPr>
        <w:jc w:val="both"/>
        <w:rPr>
          <w:rFonts w:ascii="Arial" w:hAnsi="Arial"/>
          <w:lang w:eastAsia="zh-CN"/>
        </w:rPr>
      </w:pPr>
      <w:r w:rsidRPr="00795CB0">
        <w:rPr>
          <w:rFonts w:ascii="Arial" w:hAnsi="Arial"/>
          <w:lang w:eastAsia="zh-CN"/>
        </w:rPr>
        <w:t xml:space="preserve">DRX configuration is adapted through RRC signaling currently. Thus, DRX adaptation based on layer-1 or MAC-based can be considered if the switching due to RRC is not considered sufficiently fast. MAC-based adaptation between different DRX configurations can potentially be beneficial, but perhaps RAN2 can address this on their own given their expertise and foresight (e.g. DRX MAC command CE to send UE to DRX) in also addressing UE power savings in Rel-15 through MAC Command CE based control of IAT. </w:t>
      </w:r>
    </w:p>
    <w:p w14:paraId="54D5B789" w14:textId="77777777" w:rsidR="00716598" w:rsidRPr="008E40F5" w:rsidRDefault="00716598" w:rsidP="00716598">
      <w:pPr>
        <w:pStyle w:val="Proposal"/>
        <w:numPr>
          <w:ilvl w:val="0"/>
          <w:numId w:val="4"/>
        </w:numPr>
        <w:tabs>
          <w:tab w:val="clear" w:pos="1304"/>
        </w:tabs>
        <w:spacing w:line="254" w:lineRule="auto"/>
        <w:ind w:left="1699" w:hanging="1699"/>
      </w:pPr>
      <w:bookmarkStart w:id="42" w:name="_Toc535000889"/>
      <w:bookmarkStart w:id="43" w:name="_Toc1162336"/>
      <w:r w:rsidRPr="008E40F5">
        <w:t>MAC-based adaptation between different DRX configurations should be discussed by RAN2.</w:t>
      </w:r>
      <w:bookmarkEnd w:id="42"/>
      <w:bookmarkEnd w:id="43"/>
      <w:r w:rsidRPr="008E40F5">
        <w:t xml:space="preserve"> </w:t>
      </w:r>
    </w:p>
    <w:p w14:paraId="25EEDD6F" w14:textId="77777777" w:rsidR="00716598" w:rsidRDefault="00716598" w:rsidP="00716598">
      <w:pPr>
        <w:jc w:val="both"/>
        <w:rPr>
          <w:rFonts w:ascii="Arial" w:hAnsi="Arial"/>
          <w:lang w:eastAsia="zh-CN"/>
        </w:rPr>
      </w:pPr>
      <w:r w:rsidRPr="00795CB0">
        <w:rPr>
          <w:rFonts w:ascii="Arial" w:hAnsi="Arial"/>
          <w:lang w:eastAsia="zh-CN"/>
        </w:rPr>
        <w:lastRenderedPageBreak/>
        <w:t xml:space="preserve">Configuring a UE with multiple DRX configurations and adapting through Layer-1 DCI based schemes could be considered if MAC-based adaptation is either considered to be slow or somehow not supported. However, such Layer-1 based scheme should ensure robustness, e.g. considering PDCCH miss rate, overhead, etc. The scheme should avoid scenario that can lead to mismatch in NW and UE’s understating of the DRX configuration at any given time. </w:t>
      </w:r>
    </w:p>
    <w:p w14:paraId="57B1BCEC" w14:textId="77777777" w:rsidR="00716598" w:rsidRDefault="00716598" w:rsidP="00716598">
      <w:pPr>
        <w:rPr>
          <w:lang w:val="en-GB" w:eastAsia="ja-JP"/>
        </w:rPr>
      </w:pPr>
    </w:p>
    <w:p w14:paraId="58A97C28" w14:textId="77777777" w:rsidR="00716598" w:rsidRPr="00E46576" w:rsidRDefault="00716598" w:rsidP="00716598">
      <w:pPr>
        <w:pStyle w:val="Heading2"/>
        <w:ind w:left="0" w:firstLine="0"/>
      </w:pPr>
      <w:r>
        <w:t xml:space="preserve">3.1 </w:t>
      </w:r>
      <w:r w:rsidRPr="00F64D08">
        <w:t xml:space="preserve">Preparation period </w:t>
      </w:r>
    </w:p>
    <w:p w14:paraId="790CDCE0" w14:textId="77777777" w:rsidR="00716598" w:rsidRPr="002D0883" w:rsidRDefault="00716598" w:rsidP="00716598">
      <w:pPr>
        <w:pStyle w:val="BodyText"/>
      </w:pPr>
      <w:r w:rsidRPr="002D0883">
        <w:rPr>
          <w:lang w:eastAsia="x-none"/>
        </w:rPr>
        <w:t xml:space="preserve">In the last meeting, preparation period and additional RS </w:t>
      </w:r>
      <w:r>
        <w:rPr>
          <w:lang w:eastAsia="x-none"/>
        </w:rPr>
        <w:t>were also proposed for study</w:t>
      </w:r>
      <w:r w:rsidRPr="002D0883">
        <w:rPr>
          <w:lang w:eastAsia="x-none"/>
        </w:rPr>
        <w:t xml:space="preserve">. </w:t>
      </w:r>
      <w:r w:rsidRPr="002D0883">
        <w:t xml:space="preserve">For CDRX, there seem to be two main motivations proposed for the preparation period: </w:t>
      </w:r>
    </w:p>
    <w:p w14:paraId="7D826F1D" w14:textId="77777777" w:rsidR="00716598" w:rsidRPr="002D0883" w:rsidRDefault="00716598" w:rsidP="00716598">
      <w:pPr>
        <w:numPr>
          <w:ilvl w:val="0"/>
          <w:numId w:val="7"/>
        </w:numPr>
        <w:jc w:val="both"/>
        <w:rPr>
          <w:rFonts w:ascii="Arial" w:hAnsi="Arial" w:cs="Arial"/>
          <w:lang w:eastAsia="x-none"/>
        </w:rPr>
      </w:pPr>
      <w:r w:rsidRPr="002D0883">
        <w:rPr>
          <w:rFonts w:ascii="Arial" w:hAnsi="Arial" w:cs="Arial"/>
          <w:lang w:eastAsia="x-none"/>
        </w:rPr>
        <w:t xml:space="preserve">Additional RS to assist channel tracking to prepare for PDCCH/PDSCH decoding, </w:t>
      </w:r>
    </w:p>
    <w:p w14:paraId="0FEDA18D" w14:textId="77777777" w:rsidR="00716598" w:rsidRPr="002D0883" w:rsidRDefault="00716598" w:rsidP="00716598">
      <w:pPr>
        <w:numPr>
          <w:ilvl w:val="0"/>
          <w:numId w:val="7"/>
        </w:numPr>
        <w:jc w:val="both"/>
        <w:rPr>
          <w:rFonts w:ascii="Arial" w:hAnsi="Arial" w:cs="Arial"/>
          <w:lang w:eastAsia="x-none"/>
        </w:rPr>
      </w:pPr>
      <w:r w:rsidRPr="002D0883">
        <w:rPr>
          <w:rFonts w:ascii="Arial" w:hAnsi="Arial" w:cs="Arial"/>
          <w:lang w:eastAsia="x-none"/>
        </w:rPr>
        <w:t>Additional RS for CSI measurement and reporting</w:t>
      </w:r>
    </w:p>
    <w:p w14:paraId="2A5B54FF" w14:textId="77777777" w:rsidR="00716598" w:rsidRPr="002D0883" w:rsidRDefault="00716598" w:rsidP="00716598">
      <w:pPr>
        <w:jc w:val="both"/>
        <w:rPr>
          <w:rFonts w:ascii="Arial" w:hAnsi="Arial" w:cs="Arial"/>
          <w:lang w:eastAsia="x-none"/>
        </w:rPr>
      </w:pPr>
      <w:r w:rsidRPr="002D0883">
        <w:rPr>
          <w:rFonts w:ascii="Arial" w:hAnsi="Arial" w:cs="Arial"/>
          <w:lang w:eastAsia="x-none"/>
        </w:rPr>
        <w:t xml:space="preserve">This period is supposed to be either before </w:t>
      </w:r>
      <w:proofErr w:type="gramStart"/>
      <w:r w:rsidRPr="002D0883">
        <w:rPr>
          <w:rFonts w:ascii="Arial" w:hAnsi="Arial" w:cs="Arial"/>
          <w:lang w:eastAsia="x-none"/>
        </w:rPr>
        <w:t>On</w:t>
      </w:r>
      <w:proofErr w:type="gramEnd"/>
      <w:r w:rsidRPr="002D0883">
        <w:rPr>
          <w:rFonts w:ascii="Arial" w:hAnsi="Arial" w:cs="Arial"/>
          <w:lang w:eastAsia="x-none"/>
        </w:rPr>
        <w:t xml:space="preserve"> duration or during On duration. </w:t>
      </w:r>
    </w:p>
    <w:p w14:paraId="0CD88C03" w14:textId="77777777" w:rsidR="00716598" w:rsidRPr="002D0883" w:rsidRDefault="00716598" w:rsidP="00716598">
      <w:pPr>
        <w:pStyle w:val="BodyText"/>
        <w:rPr>
          <w:rFonts w:cs="Arial"/>
          <w:lang w:eastAsia="x-none"/>
        </w:rPr>
      </w:pPr>
      <w:r w:rsidRPr="002D0883">
        <w:rPr>
          <w:rFonts w:cs="Arial"/>
          <w:lang w:eastAsia="x-none"/>
        </w:rPr>
        <w:t xml:space="preserve">For 1), it seems the claimed benefit of the additional RS before </w:t>
      </w:r>
      <w:proofErr w:type="gramStart"/>
      <w:r w:rsidRPr="002D0883">
        <w:rPr>
          <w:rFonts w:cs="Arial"/>
          <w:lang w:eastAsia="x-none"/>
        </w:rPr>
        <w:t>On</w:t>
      </w:r>
      <w:proofErr w:type="gramEnd"/>
      <w:r w:rsidRPr="002D0883">
        <w:rPr>
          <w:rFonts w:cs="Arial"/>
          <w:lang w:eastAsia="x-none"/>
        </w:rPr>
        <w:t xml:space="preserve"> duration is to assist UE channel tracking for preparing for PDCCH/PDSCH decoding in On duration. Currently, it is up to UE implementation as to how it processes existing reference signals such as SSB for time-frequency tracking. Additionally, Tracking Reference </w:t>
      </w:r>
      <w:r w:rsidRPr="002D0883">
        <w:rPr>
          <w:color w:val="000000" w:themeColor="text1"/>
        </w:rPr>
        <w:t>Signals</w:t>
      </w:r>
      <w:r w:rsidRPr="002D0883">
        <w:rPr>
          <w:rFonts w:cs="Arial"/>
          <w:lang w:eastAsia="x-none"/>
        </w:rPr>
        <w:t xml:space="preserve"> (TRS) can be configured by the NW and these </w:t>
      </w:r>
      <w:r>
        <w:rPr>
          <w:rFonts w:cs="Arial"/>
          <w:lang w:eastAsia="x-none"/>
        </w:rPr>
        <w:t>are available for</w:t>
      </w:r>
      <w:r w:rsidRPr="002D0883">
        <w:rPr>
          <w:rFonts w:cs="Arial"/>
          <w:lang w:eastAsia="x-none"/>
        </w:rPr>
        <w:t xml:space="preserve"> time-frequency tracking. Unlike CSI-RS for measurement and reporting, the NW is not mandated to transmit TRS only during the </w:t>
      </w:r>
      <w:proofErr w:type="gramStart"/>
      <w:r w:rsidRPr="002D0883">
        <w:rPr>
          <w:rFonts w:cs="Arial"/>
          <w:lang w:eastAsia="x-none"/>
        </w:rPr>
        <w:t>On</w:t>
      </w:r>
      <w:proofErr w:type="gramEnd"/>
      <w:r w:rsidRPr="002D0883">
        <w:rPr>
          <w:rFonts w:cs="Arial"/>
          <w:lang w:eastAsia="x-none"/>
        </w:rPr>
        <w:t xml:space="preserve"> duration, and hence UE can make use of TRS (e.g. periodic or semi-persistent) transmitted during DRX to do fine time/frequency tracking. </w:t>
      </w:r>
    </w:p>
    <w:p w14:paraId="6A800C9B" w14:textId="77777777" w:rsidR="00716598" w:rsidRPr="002D0883" w:rsidRDefault="00716598" w:rsidP="00716598">
      <w:pPr>
        <w:jc w:val="both"/>
        <w:rPr>
          <w:rFonts w:ascii="Arial" w:hAnsi="Arial" w:cs="Arial"/>
          <w:lang w:eastAsia="x-none"/>
        </w:rPr>
      </w:pPr>
      <w:r w:rsidRPr="002D0883">
        <w:rPr>
          <w:rFonts w:ascii="Arial" w:hAnsi="Arial" w:cs="Arial"/>
          <w:lang w:eastAsia="x-none"/>
        </w:rPr>
        <w:t xml:space="preserve">Given these choices already available from Rel-15 design, the need for adding more reference signals is unclear. Moreover, since these additional RS to assist time/frequency tracking are required to transmitted always ahead of each </w:t>
      </w:r>
      <w:proofErr w:type="gramStart"/>
      <w:r w:rsidRPr="002D0883">
        <w:rPr>
          <w:rFonts w:ascii="Arial" w:hAnsi="Arial" w:cs="Arial"/>
          <w:lang w:eastAsia="x-none"/>
        </w:rPr>
        <w:t>On</w:t>
      </w:r>
      <w:proofErr w:type="gramEnd"/>
      <w:r w:rsidRPr="002D0883">
        <w:rPr>
          <w:rFonts w:ascii="Arial" w:hAnsi="Arial" w:cs="Arial"/>
          <w:lang w:eastAsia="x-none"/>
        </w:rPr>
        <w:t xml:space="preserve"> duration, this will imply a constant overhead from NW perspective, which will scale with the number of users.</w:t>
      </w:r>
    </w:p>
    <w:p w14:paraId="4D707504" w14:textId="77777777" w:rsidR="00716598" w:rsidRPr="002D0883" w:rsidRDefault="00716598" w:rsidP="00716598">
      <w:pPr>
        <w:jc w:val="both"/>
        <w:rPr>
          <w:rFonts w:ascii="Arial" w:hAnsi="Arial" w:cs="Arial"/>
          <w:lang w:eastAsia="x-none"/>
        </w:rPr>
      </w:pPr>
      <w:r w:rsidRPr="002D0883">
        <w:rPr>
          <w:rFonts w:ascii="Arial" w:hAnsi="Arial" w:cs="Arial"/>
          <w:lang w:eastAsia="x-none"/>
        </w:rPr>
        <w:t xml:space="preserve">If there are small number of UEs in DRX, then NW, based on implementation and existing Rel-15 framework, can align the existing TRS transmissions or SSBs to occur close to UE’s </w:t>
      </w:r>
      <w:proofErr w:type="gramStart"/>
      <w:r w:rsidRPr="002D0883">
        <w:rPr>
          <w:rFonts w:ascii="Arial" w:hAnsi="Arial" w:cs="Arial"/>
          <w:lang w:eastAsia="x-none"/>
        </w:rPr>
        <w:t>On</w:t>
      </w:r>
      <w:proofErr w:type="gramEnd"/>
      <w:r w:rsidRPr="002D0883">
        <w:rPr>
          <w:rFonts w:ascii="Arial" w:hAnsi="Arial" w:cs="Arial"/>
          <w:lang w:eastAsia="x-none"/>
        </w:rPr>
        <w:t xml:space="preserve"> duration and UEs can take advantage of such proximity for any power savings, and thus, the need to define a separate preparation period in such cases is not well-motivated. </w:t>
      </w:r>
    </w:p>
    <w:p w14:paraId="6E460B11" w14:textId="77777777" w:rsidR="00716598" w:rsidRPr="002D0883" w:rsidRDefault="00716598" w:rsidP="00716598">
      <w:pPr>
        <w:jc w:val="both"/>
        <w:rPr>
          <w:rFonts w:ascii="Arial" w:hAnsi="Arial" w:cs="Arial"/>
          <w:lang w:eastAsia="x-none"/>
        </w:rPr>
      </w:pPr>
      <w:r w:rsidRPr="002D0883">
        <w:rPr>
          <w:rFonts w:ascii="Arial" w:hAnsi="Arial" w:cs="Arial"/>
          <w:lang w:eastAsia="x-none"/>
        </w:rPr>
        <w:t xml:space="preserve">If there are large number of UEs in DRX, then simply configuring additional RS very close to each UE’s </w:t>
      </w:r>
      <w:proofErr w:type="gramStart"/>
      <w:r w:rsidRPr="002D0883">
        <w:rPr>
          <w:rFonts w:ascii="Arial" w:hAnsi="Arial" w:cs="Arial"/>
          <w:lang w:eastAsia="x-none"/>
        </w:rPr>
        <w:t>On</w:t>
      </w:r>
      <w:proofErr w:type="gramEnd"/>
      <w:r w:rsidRPr="002D0883">
        <w:rPr>
          <w:rFonts w:ascii="Arial" w:hAnsi="Arial" w:cs="Arial"/>
          <w:lang w:eastAsia="x-none"/>
        </w:rPr>
        <w:t xml:space="preserve"> durations becomes infeasible from scheduling point of view as it increases NW energy consumption and also resource utilization. </w:t>
      </w:r>
    </w:p>
    <w:p w14:paraId="3EAF79AC" w14:textId="1E2F96D2" w:rsidR="00716598" w:rsidRDefault="00716598" w:rsidP="00716598">
      <w:pPr>
        <w:jc w:val="both"/>
        <w:rPr>
          <w:rFonts w:ascii="Arial" w:hAnsi="Arial" w:cs="Arial"/>
          <w:lang w:eastAsia="x-none"/>
        </w:rPr>
      </w:pPr>
      <w:r w:rsidRPr="002D0883">
        <w:rPr>
          <w:rFonts w:ascii="Arial" w:hAnsi="Arial" w:cs="Arial"/>
          <w:lang w:eastAsia="x-none"/>
        </w:rPr>
        <w:t xml:space="preserve">For 2), the use case seems tied to having a wake-up signal </w:t>
      </w:r>
      <w:r>
        <w:rPr>
          <w:rFonts w:ascii="Arial" w:hAnsi="Arial" w:cs="Arial"/>
          <w:lang w:eastAsia="x-none"/>
        </w:rPr>
        <w:t xml:space="preserve">(WUS) </w:t>
      </w:r>
      <w:r w:rsidRPr="002D0883">
        <w:rPr>
          <w:rFonts w:ascii="Arial" w:hAnsi="Arial" w:cs="Arial"/>
          <w:lang w:eastAsia="x-none"/>
        </w:rPr>
        <w:t xml:space="preserve">prior to On duration in the sense that NW sends a WUS to tell the UE that there is a data burst in upcoming </w:t>
      </w:r>
      <w:proofErr w:type="gramStart"/>
      <w:r w:rsidRPr="002D0883">
        <w:rPr>
          <w:rFonts w:ascii="Arial" w:hAnsi="Arial" w:cs="Arial"/>
          <w:lang w:eastAsia="x-none"/>
        </w:rPr>
        <w:t>On</w:t>
      </w:r>
      <w:proofErr w:type="gramEnd"/>
      <w:r w:rsidRPr="002D0883">
        <w:rPr>
          <w:rFonts w:ascii="Arial" w:hAnsi="Arial" w:cs="Arial"/>
          <w:lang w:eastAsia="x-none"/>
        </w:rPr>
        <w:t xml:space="preserve"> duration and that the UE should start PDCCH monitoring in that On duration. Furthermore, the NW also uses the WUS to also trigger a CSI-RS resource in the preparation period (e.g. in the time between WUS end and beginning of </w:t>
      </w:r>
      <w:proofErr w:type="gramStart"/>
      <w:r w:rsidRPr="002D0883">
        <w:rPr>
          <w:rFonts w:ascii="Arial" w:hAnsi="Arial" w:cs="Arial"/>
          <w:lang w:eastAsia="x-none"/>
        </w:rPr>
        <w:t>On</w:t>
      </w:r>
      <w:proofErr w:type="gramEnd"/>
      <w:r w:rsidRPr="002D0883">
        <w:rPr>
          <w:rFonts w:ascii="Arial" w:hAnsi="Arial" w:cs="Arial"/>
          <w:lang w:eastAsia="x-none"/>
        </w:rPr>
        <w:t xml:space="preserve"> duration) for UE to measure CSI, and a possible uplink resource on which the UE reports CSI (e.g. on PUCCH, also possibly before On duration). Then, it seems the purpose of the additional RS for CSI measurement is not power consumption reduction, rather targeting performance enhancement. While such gains are also not clear, they are however beyond the scope of this SI which is related to UE power savings. Given this, we do not see a need for introducing Additional RS for CSI measurement and reporting prior to On duration. Rel-15</w:t>
      </w:r>
      <w:r>
        <w:rPr>
          <w:rFonts w:ascii="Arial" w:hAnsi="Arial" w:cs="Arial"/>
          <w:lang w:eastAsia="x-none"/>
        </w:rPr>
        <w:t>.</w:t>
      </w:r>
      <w:r w:rsidRPr="002D0883">
        <w:rPr>
          <w:rFonts w:ascii="Arial" w:hAnsi="Arial" w:cs="Arial"/>
          <w:lang w:eastAsia="x-none"/>
        </w:rPr>
        <w:t xml:space="preserve"> This simply seems to redefine the active time of the UE to also include some portion between WUS end and beginning of </w:t>
      </w:r>
      <w:proofErr w:type="gramStart"/>
      <w:r w:rsidRPr="002D0883">
        <w:rPr>
          <w:rFonts w:ascii="Arial" w:hAnsi="Arial" w:cs="Arial"/>
          <w:lang w:eastAsia="x-none"/>
        </w:rPr>
        <w:t>On</w:t>
      </w:r>
      <w:proofErr w:type="gramEnd"/>
      <w:r w:rsidRPr="002D0883">
        <w:rPr>
          <w:rFonts w:ascii="Arial" w:hAnsi="Arial" w:cs="Arial"/>
          <w:lang w:eastAsia="x-none"/>
        </w:rPr>
        <w:t xml:space="preserve"> duration. </w:t>
      </w:r>
    </w:p>
    <w:p w14:paraId="4C9ABD5C" w14:textId="5505C85F" w:rsidR="008B1135" w:rsidRPr="00553B06" w:rsidRDefault="008B1135" w:rsidP="008B1135">
      <w:pPr>
        <w:pStyle w:val="Observation"/>
        <w:numPr>
          <w:ilvl w:val="0"/>
          <w:numId w:val="5"/>
        </w:numPr>
        <w:spacing w:line="254" w:lineRule="auto"/>
        <w:ind w:left="1701" w:hanging="1701"/>
      </w:pPr>
      <w:bookmarkStart w:id="44" w:name="_Toc1162350"/>
      <w:r>
        <w:t>Specifying additional r</w:t>
      </w:r>
      <w:r w:rsidRPr="00306465">
        <w:t xml:space="preserve">eference signals </w:t>
      </w:r>
      <w:r>
        <w:t>increase</w:t>
      </w:r>
      <w:r w:rsidR="00E4346C">
        <w:t>s</w:t>
      </w:r>
      <w:r>
        <w:t xml:space="preserve"> overhead and negatively impacts NW energy efficiency</w:t>
      </w:r>
      <w:r w:rsidRPr="00306465">
        <w:t>.</w:t>
      </w:r>
      <w:bookmarkEnd w:id="44"/>
      <w:r w:rsidRPr="00306465">
        <w:t xml:space="preserve"> </w:t>
      </w:r>
    </w:p>
    <w:p w14:paraId="03A8052A" w14:textId="1E732083" w:rsidR="008B1135" w:rsidRDefault="008B1135" w:rsidP="008B1135">
      <w:pPr>
        <w:pStyle w:val="Observation"/>
        <w:numPr>
          <w:ilvl w:val="0"/>
          <w:numId w:val="5"/>
        </w:numPr>
        <w:spacing w:line="254" w:lineRule="auto"/>
        <w:ind w:left="1701" w:hanging="1701"/>
      </w:pPr>
      <w:bookmarkStart w:id="45" w:name="_Toc1162351"/>
      <w:r>
        <w:lastRenderedPageBreak/>
        <w:t>F</w:t>
      </w:r>
      <w:r w:rsidRPr="00306465">
        <w:t xml:space="preserve">or channel tracking before onset of </w:t>
      </w:r>
      <w:proofErr w:type="gramStart"/>
      <w:r w:rsidRPr="00306465">
        <w:t>On</w:t>
      </w:r>
      <w:proofErr w:type="gramEnd"/>
      <w:r w:rsidRPr="00306465">
        <w:t xml:space="preserve"> duration in CDRX</w:t>
      </w:r>
      <w:r>
        <w:t>, existing r</w:t>
      </w:r>
      <w:r w:rsidRPr="00306465">
        <w:t xml:space="preserve">eference signals (SSB and/or TRS) defined in Rel-15 </w:t>
      </w:r>
      <w:r>
        <w:t>are already available.</w:t>
      </w:r>
      <w:bookmarkEnd w:id="45"/>
    </w:p>
    <w:p w14:paraId="69884679" w14:textId="77777777" w:rsidR="00716598" w:rsidRDefault="00716598" w:rsidP="00716598">
      <w:pPr>
        <w:pStyle w:val="Heading1"/>
      </w:pPr>
      <w:r>
        <w:t>4 WUS operation with CDRX</w:t>
      </w:r>
    </w:p>
    <w:p w14:paraId="2C049123" w14:textId="77777777" w:rsidR="00716598" w:rsidRDefault="00716598" w:rsidP="00716598">
      <w:pPr>
        <w:jc w:val="both"/>
        <w:rPr>
          <w:rFonts w:ascii="Arial" w:hAnsi="Arial" w:cs="Arial"/>
          <w:lang w:val="en-GB" w:eastAsia="ja-JP"/>
        </w:rPr>
      </w:pPr>
      <w:r>
        <w:rPr>
          <w:rFonts w:ascii="Arial" w:hAnsi="Arial" w:cs="Arial"/>
          <w:lang w:val="en-GB" w:eastAsia="ja-JP"/>
        </w:rPr>
        <w:t xml:space="preserve">Wakeup signal (WUS) is a potential technique to reduce UE power consumption. NW can inform the UE through wake-up signalling that the UE should start monitoring for PDCCH e.g. in DRX </w:t>
      </w:r>
      <w:proofErr w:type="gramStart"/>
      <w:r>
        <w:rPr>
          <w:rFonts w:ascii="Arial" w:hAnsi="Arial" w:cs="Arial"/>
          <w:lang w:val="en-GB" w:eastAsia="ja-JP"/>
        </w:rPr>
        <w:t>On</w:t>
      </w:r>
      <w:proofErr w:type="gramEnd"/>
      <w:r>
        <w:rPr>
          <w:rFonts w:ascii="Arial" w:hAnsi="Arial" w:cs="Arial"/>
          <w:lang w:val="en-GB" w:eastAsia="ja-JP"/>
        </w:rPr>
        <w:t xml:space="preserve"> duration, etc. The motivation being that the wakeup signal monitoring can be performed by the UE with a relatively lower power consumption.</w:t>
      </w:r>
    </w:p>
    <w:p w14:paraId="4640A4E3" w14:textId="77777777" w:rsidR="00716598" w:rsidRDefault="00716598" w:rsidP="00716598">
      <w:pPr>
        <w:jc w:val="both"/>
        <w:rPr>
          <w:rFonts w:ascii="Arial" w:hAnsi="Arial" w:cs="Arial"/>
          <w:lang w:val="en-GB" w:eastAsia="ja-JP"/>
        </w:rPr>
      </w:pPr>
      <w:r>
        <w:rPr>
          <w:rFonts w:ascii="Arial" w:hAnsi="Arial" w:cs="Arial"/>
          <w:lang w:val="en-GB" w:eastAsia="ja-JP"/>
        </w:rPr>
        <w:t xml:space="preserve">DRX itself is a key power saving technique, whereby UE is allowed opportunities for sleep, and requiring it to wakeup periodically to monitor PDCCH (e.g. On duration). Once UE detects scheduling messages, it can stay awake until the end of active time and go back to DRX for saving power. Thus, in case data arrives in the DL buffer, the </w:t>
      </w:r>
      <w:proofErr w:type="spellStart"/>
      <w:r>
        <w:rPr>
          <w:rFonts w:ascii="Arial" w:hAnsi="Arial" w:cs="Arial"/>
          <w:lang w:val="en-GB" w:eastAsia="ja-JP"/>
        </w:rPr>
        <w:t>gNB</w:t>
      </w:r>
      <w:proofErr w:type="spellEnd"/>
      <w:r>
        <w:rPr>
          <w:rFonts w:ascii="Arial" w:hAnsi="Arial" w:cs="Arial"/>
          <w:lang w:val="en-GB" w:eastAsia="ja-JP"/>
        </w:rPr>
        <w:t xml:space="preserve"> has to wait until the next </w:t>
      </w:r>
      <w:proofErr w:type="gramStart"/>
      <w:r>
        <w:rPr>
          <w:rFonts w:ascii="Arial" w:hAnsi="Arial" w:cs="Arial"/>
          <w:lang w:val="en-GB" w:eastAsia="ja-JP"/>
        </w:rPr>
        <w:t>On</w:t>
      </w:r>
      <w:proofErr w:type="gramEnd"/>
      <w:r>
        <w:rPr>
          <w:rFonts w:ascii="Arial" w:hAnsi="Arial" w:cs="Arial"/>
          <w:lang w:val="en-GB" w:eastAsia="ja-JP"/>
        </w:rPr>
        <w:t xml:space="preserve"> duration to start scheduling the UE and keep the UE in active time until the packet is successfully transmitted, and then it can send the UE back to DRX. If there is no data for the UE, the UE monitors PDCCH during </w:t>
      </w:r>
      <w:proofErr w:type="gramStart"/>
      <w:r>
        <w:rPr>
          <w:rFonts w:ascii="Arial" w:hAnsi="Arial" w:cs="Arial"/>
          <w:lang w:val="en-GB" w:eastAsia="ja-JP"/>
        </w:rPr>
        <w:t>On</w:t>
      </w:r>
      <w:proofErr w:type="gramEnd"/>
      <w:r>
        <w:rPr>
          <w:rFonts w:ascii="Arial" w:hAnsi="Arial" w:cs="Arial"/>
          <w:lang w:val="en-GB" w:eastAsia="ja-JP"/>
        </w:rPr>
        <w:t xml:space="preserve"> duration, and if no scheduling messages are detected, the UE can go back to sleep after that duration. The WUS should precede the scheduling PDCCH transmission by an offset value (e.g. number of symbols/slots) to allow the UE to wake up and start PDCCH monitoring.</w:t>
      </w:r>
    </w:p>
    <w:p w14:paraId="390262A5" w14:textId="77777777" w:rsidR="00716598" w:rsidRDefault="00716598" w:rsidP="00716598">
      <w:pPr>
        <w:jc w:val="both"/>
        <w:rPr>
          <w:rFonts w:ascii="Arial" w:hAnsi="Arial" w:cs="Arial"/>
          <w:lang w:val="en-GB" w:eastAsia="ja-JP"/>
        </w:rPr>
      </w:pPr>
      <w:r>
        <w:rPr>
          <w:rFonts w:ascii="Arial" w:hAnsi="Arial" w:cs="Arial"/>
          <w:lang w:val="en-GB" w:eastAsia="ja-JP"/>
        </w:rPr>
        <w:t xml:space="preserve">An example of DRX operation with WUS is shown in Figure 1. If UE detects WUS in a WUS monitoring occasion, then it will monitor PDCCH in the </w:t>
      </w:r>
      <w:proofErr w:type="gramStart"/>
      <w:r>
        <w:rPr>
          <w:rFonts w:ascii="Arial" w:hAnsi="Arial" w:cs="Arial"/>
          <w:lang w:val="en-GB" w:eastAsia="ja-JP"/>
        </w:rPr>
        <w:t>On</w:t>
      </w:r>
      <w:proofErr w:type="gramEnd"/>
      <w:r>
        <w:rPr>
          <w:rFonts w:ascii="Arial" w:hAnsi="Arial" w:cs="Arial"/>
          <w:lang w:val="en-GB" w:eastAsia="ja-JP"/>
        </w:rPr>
        <w:t xml:space="preserve"> duration, otherwise the UE may skip monitoring PDCCH in that On duration. The figure also illustrates an example mechanism by which UE can go to sleep after receiving data (at expiry of Inactivity timer). </w:t>
      </w:r>
    </w:p>
    <w:p w14:paraId="2B8F270A" w14:textId="77777777" w:rsidR="00716598" w:rsidRDefault="00716598" w:rsidP="00716598">
      <w:pPr>
        <w:keepNext/>
        <w:jc w:val="center"/>
      </w:pPr>
      <w:r>
        <w:rPr>
          <w:rFonts w:ascii="Arial" w:hAnsi="Arial" w:cs="Arial"/>
          <w:noProof/>
          <w:lang w:val="en-GB" w:eastAsia="ja-JP"/>
        </w:rPr>
        <w:drawing>
          <wp:inline distT="0" distB="0" distL="0" distR="0" wp14:anchorId="1B6F5F94" wp14:editId="1AB26A2A">
            <wp:extent cx="4191000" cy="137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00" cy="1371600"/>
                    </a:xfrm>
                    <a:prstGeom prst="rect">
                      <a:avLst/>
                    </a:prstGeom>
                    <a:noFill/>
                    <a:ln>
                      <a:noFill/>
                    </a:ln>
                  </pic:spPr>
                </pic:pic>
              </a:graphicData>
            </a:graphic>
          </wp:inline>
        </w:drawing>
      </w:r>
    </w:p>
    <w:p w14:paraId="2DD96EF8" w14:textId="77777777" w:rsidR="00716598" w:rsidRPr="008E40F5" w:rsidRDefault="00716598" w:rsidP="00716598">
      <w:pPr>
        <w:spacing w:before="120" w:after="120"/>
        <w:jc w:val="both"/>
        <w:rPr>
          <w:b/>
          <w:lang w:eastAsia="en-GB"/>
        </w:rPr>
      </w:pPr>
      <w:r w:rsidRPr="008E40F5">
        <w:rPr>
          <w:b/>
          <w:lang w:eastAsia="en-GB"/>
        </w:rPr>
        <w:t xml:space="preserve">Figure </w:t>
      </w:r>
      <w:r>
        <w:rPr>
          <w:b/>
          <w:lang w:eastAsia="en-GB"/>
        </w:rPr>
        <w:fldChar w:fldCharType="begin"/>
      </w:r>
      <w:r w:rsidRPr="008E40F5">
        <w:rPr>
          <w:b/>
          <w:lang w:eastAsia="en-GB"/>
        </w:rPr>
        <w:instrText xml:space="preserve"> SEQ Figure \* ARABIC </w:instrText>
      </w:r>
      <w:r>
        <w:rPr>
          <w:b/>
          <w:lang w:eastAsia="en-GB"/>
        </w:rPr>
        <w:fldChar w:fldCharType="separate"/>
      </w:r>
      <w:r w:rsidRPr="008E40F5">
        <w:rPr>
          <w:b/>
          <w:noProof/>
          <w:lang w:eastAsia="en-GB"/>
        </w:rPr>
        <w:t>6</w:t>
      </w:r>
      <w:r>
        <w:rPr>
          <w:b/>
          <w:lang w:eastAsia="en-GB"/>
        </w:rPr>
        <w:fldChar w:fldCharType="end"/>
      </w:r>
      <w:r w:rsidRPr="008E40F5">
        <w:rPr>
          <w:b/>
          <w:lang w:eastAsia="en-GB"/>
        </w:rPr>
        <w:t>. Placement of WUS monitoring occasion prior to ON duration.</w:t>
      </w:r>
    </w:p>
    <w:p w14:paraId="0982ECC0" w14:textId="77777777" w:rsidR="00716598" w:rsidRPr="008E40F5" w:rsidRDefault="00716598" w:rsidP="00716598">
      <w:pPr>
        <w:spacing w:after="120"/>
        <w:jc w:val="both"/>
        <w:rPr>
          <w:rFonts w:ascii="Arial" w:hAnsi="Arial" w:cs="Arial"/>
          <w:i/>
          <w:iCs/>
          <w:sz w:val="20"/>
          <w:szCs w:val="20"/>
          <w:lang w:eastAsia="zh-CN"/>
        </w:rPr>
      </w:pPr>
      <w:r w:rsidRPr="008E40F5">
        <w:rPr>
          <w:rFonts w:ascii="Arial" w:hAnsi="Arial" w:cs="Arial"/>
          <w:lang w:eastAsia="zh-CN"/>
        </w:rPr>
        <w:t xml:space="preserve">In </w:t>
      </w:r>
      <w:r>
        <w:rPr>
          <w:rFonts w:ascii="Arial" w:hAnsi="Arial" w:cs="Arial"/>
          <w:lang w:eastAsia="zh-CN"/>
        </w:rPr>
        <w:t xml:space="preserve">Jan </w:t>
      </w:r>
      <w:proofErr w:type="spellStart"/>
      <w:r>
        <w:rPr>
          <w:rFonts w:ascii="Arial" w:hAnsi="Arial" w:cs="Arial"/>
          <w:lang w:eastAsia="zh-CN"/>
        </w:rPr>
        <w:t>Adhoc</w:t>
      </w:r>
      <w:proofErr w:type="spellEnd"/>
      <w:r w:rsidRPr="008E40F5">
        <w:rPr>
          <w:rFonts w:ascii="Arial" w:hAnsi="Arial" w:cs="Arial"/>
          <w:lang w:eastAsia="zh-CN"/>
        </w:rPr>
        <w:t xml:space="preserve"> meeting, it was agreed to consider the following aspects for WUS</w:t>
      </w:r>
      <w:r w:rsidRPr="008E40F5">
        <w:rPr>
          <w:rFonts w:ascii="Arial" w:hAnsi="Arial" w:cs="Arial"/>
          <w:sz w:val="20"/>
          <w:szCs w:val="20"/>
          <w:lang w:eastAsia="zh-CN"/>
        </w:rPr>
        <w:t xml:space="preserve">: </w:t>
      </w:r>
    </w:p>
    <w:p w14:paraId="7EC12E41" w14:textId="77777777" w:rsidR="00716598" w:rsidRPr="00E46576" w:rsidRDefault="00716598" w:rsidP="00716598">
      <w:pPr>
        <w:numPr>
          <w:ilvl w:val="0"/>
          <w:numId w:val="8"/>
        </w:numPr>
        <w:spacing w:after="0" w:line="240" w:lineRule="auto"/>
        <w:rPr>
          <w:rFonts w:ascii="Times" w:eastAsia="Batang" w:hAnsi="Times" w:cs="Times New Roman"/>
          <w:i/>
          <w:sz w:val="20"/>
          <w:szCs w:val="20"/>
          <w:lang w:val="en-GB"/>
        </w:rPr>
      </w:pPr>
      <w:r w:rsidRPr="00E46576">
        <w:rPr>
          <w:rFonts w:ascii="Times" w:eastAsia="Batang" w:hAnsi="Times" w:cs="Times New Roman"/>
          <w:i/>
          <w:sz w:val="20"/>
          <w:szCs w:val="20"/>
          <w:lang w:val="en-GB"/>
        </w:rPr>
        <w:t>Companies are encouraged to consider the following aspects for the purpose of the power saving signal/channel design,</w:t>
      </w:r>
    </w:p>
    <w:p w14:paraId="54186FC5" w14:textId="77777777" w:rsidR="00716598" w:rsidRPr="00E46576" w:rsidRDefault="00716598" w:rsidP="00716598">
      <w:pPr>
        <w:numPr>
          <w:ilvl w:val="1"/>
          <w:numId w:val="8"/>
        </w:numPr>
        <w:spacing w:after="0" w:line="240" w:lineRule="auto"/>
        <w:rPr>
          <w:rFonts w:ascii="Times" w:eastAsia="Batang" w:hAnsi="Times" w:cs="Times New Roman"/>
          <w:i/>
          <w:sz w:val="20"/>
          <w:szCs w:val="20"/>
          <w:lang w:val="en-GB"/>
        </w:rPr>
      </w:pPr>
      <w:r w:rsidRPr="00E46576">
        <w:rPr>
          <w:rFonts w:ascii="Times" w:eastAsia="Batang" w:hAnsi="Times" w:cs="Times New Roman"/>
          <w:i/>
          <w:sz w:val="20"/>
          <w:szCs w:val="20"/>
          <w:lang w:val="en-GB"/>
        </w:rPr>
        <w:t>The multiplexing capability</w:t>
      </w:r>
    </w:p>
    <w:p w14:paraId="4884B1A8" w14:textId="77777777" w:rsidR="00716598" w:rsidRPr="00E46576" w:rsidRDefault="00716598" w:rsidP="00716598">
      <w:pPr>
        <w:numPr>
          <w:ilvl w:val="2"/>
          <w:numId w:val="8"/>
        </w:numPr>
        <w:spacing w:after="0" w:line="240" w:lineRule="auto"/>
        <w:rPr>
          <w:rFonts w:ascii="Times" w:eastAsia="Batang" w:hAnsi="Times" w:cs="Times New Roman"/>
          <w:i/>
          <w:sz w:val="20"/>
          <w:szCs w:val="20"/>
          <w:lang w:val="en-GB"/>
        </w:rPr>
      </w:pPr>
      <w:r w:rsidRPr="00E46576">
        <w:rPr>
          <w:rFonts w:ascii="Times" w:eastAsia="Batang" w:hAnsi="Times" w:cs="Times New Roman"/>
          <w:i/>
          <w:sz w:val="20"/>
          <w:szCs w:val="20"/>
          <w:lang w:val="en-GB"/>
        </w:rPr>
        <w:t>Include total number of UEs supported</w:t>
      </w:r>
    </w:p>
    <w:p w14:paraId="25A052C0" w14:textId="77777777" w:rsidR="00716598" w:rsidRPr="00E46576" w:rsidRDefault="00716598" w:rsidP="00716598">
      <w:pPr>
        <w:numPr>
          <w:ilvl w:val="1"/>
          <w:numId w:val="8"/>
        </w:numPr>
        <w:spacing w:after="0" w:line="240" w:lineRule="auto"/>
        <w:rPr>
          <w:rFonts w:ascii="Times" w:eastAsia="Batang" w:hAnsi="Times" w:cs="Times New Roman"/>
          <w:i/>
          <w:sz w:val="20"/>
          <w:szCs w:val="20"/>
          <w:lang w:val="en-GB"/>
        </w:rPr>
      </w:pPr>
      <w:r w:rsidRPr="00E46576">
        <w:rPr>
          <w:rFonts w:ascii="Times" w:eastAsia="Batang" w:hAnsi="Times" w:cs="Times New Roman"/>
          <w:i/>
          <w:sz w:val="20"/>
          <w:szCs w:val="20"/>
          <w:lang w:val="en-GB"/>
        </w:rPr>
        <w:t>The resource overhead in achieving the power saving</w:t>
      </w:r>
    </w:p>
    <w:p w14:paraId="129345A0" w14:textId="77777777" w:rsidR="00716598" w:rsidRPr="00E46576" w:rsidRDefault="00716598" w:rsidP="00716598">
      <w:pPr>
        <w:numPr>
          <w:ilvl w:val="1"/>
          <w:numId w:val="8"/>
        </w:numPr>
        <w:spacing w:after="0" w:line="240" w:lineRule="auto"/>
        <w:rPr>
          <w:rFonts w:ascii="Times" w:eastAsia="Batang" w:hAnsi="Times" w:cs="Times New Roman"/>
          <w:i/>
          <w:sz w:val="20"/>
          <w:szCs w:val="20"/>
          <w:lang w:val="en-GB"/>
        </w:rPr>
      </w:pPr>
      <w:r w:rsidRPr="00E46576">
        <w:rPr>
          <w:rFonts w:ascii="Times" w:eastAsia="Batang" w:hAnsi="Times" w:cs="Times New Roman"/>
          <w:i/>
          <w:sz w:val="20"/>
          <w:szCs w:val="20"/>
          <w:lang w:val="en-GB"/>
        </w:rPr>
        <w:t>The behaviour when miss detection/false alarm happens</w:t>
      </w:r>
    </w:p>
    <w:p w14:paraId="36E2D59B" w14:textId="77777777" w:rsidR="00716598" w:rsidRPr="00E46576" w:rsidRDefault="00716598" w:rsidP="00716598">
      <w:pPr>
        <w:numPr>
          <w:ilvl w:val="1"/>
          <w:numId w:val="8"/>
        </w:numPr>
        <w:spacing w:after="0" w:line="240" w:lineRule="auto"/>
        <w:rPr>
          <w:rFonts w:ascii="Times" w:eastAsia="Batang" w:hAnsi="Times" w:cs="Times New Roman"/>
          <w:i/>
          <w:sz w:val="20"/>
          <w:szCs w:val="20"/>
          <w:lang w:val="en-GB"/>
        </w:rPr>
      </w:pPr>
      <w:r w:rsidRPr="00E46576">
        <w:rPr>
          <w:rFonts w:ascii="Times" w:eastAsia="Batang" w:hAnsi="Times" w:cs="Times New Roman"/>
          <w:i/>
          <w:sz w:val="20"/>
          <w:szCs w:val="20"/>
          <w:lang w:val="en-GB"/>
        </w:rPr>
        <w:t>Multiplexing with other signals/channels</w:t>
      </w:r>
    </w:p>
    <w:p w14:paraId="372963EA" w14:textId="77777777" w:rsidR="00716598" w:rsidRPr="00E46576" w:rsidRDefault="00716598" w:rsidP="00716598">
      <w:pPr>
        <w:numPr>
          <w:ilvl w:val="1"/>
          <w:numId w:val="8"/>
        </w:numPr>
        <w:spacing w:after="0" w:line="240" w:lineRule="auto"/>
        <w:rPr>
          <w:rFonts w:ascii="Times" w:eastAsia="Batang" w:hAnsi="Times" w:cs="Times New Roman"/>
          <w:i/>
          <w:sz w:val="20"/>
          <w:szCs w:val="20"/>
          <w:lang w:val="en-GB"/>
        </w:rPr>
      </w:pPr>
      <w:r w:rsidRPr="00E46576">
        <w:rPr>
          <w:rFonts w:ascii="Times" w:eastAsia="Batang" w:hAnsi="Times" w:cs="Times New Roman"/>
          <w:i/>
          <w:sz w:val="20"/>
          <w:szCs w:val="20"/>
          <w:lang w:val="en-GB"/>
        </w:rPr>
        <w:t>Number of information bits</w:t>
      </w:r>
    </w:p>
    <w:p w14:paraId="49EAE239" w14:textId="77777777" w:rsidR="00716598" w:rsidRPr="00E46576" w:rsidRDefault="00716598" w:rsidP="00716598">
      <w:pPr>
        <w:numPr>
          <w:ilvl w:val="1"/>
          <w:numId w:val="8"/>
        </w:numPr>
        <w:spacing w:after="0" w:line="240" w:lineRule="auto"/>
        <w:rPr>
          <w:rFonts w:ascii="Times" w:eastAsia="Batang" w:hAnsi="Times" w:cs="Times New Roman"/>
          <w:i/>
          <w:sz w:val="20"/>
          <w:szCs w:val="20"/>
          <w:lang w:val="en-GB"/>
        </w:rPr>
      </w:pPr>
      <w:r w:rsidRPr="00E46576">
        <w:rPr>
          <w:rFonts w:ascii="Times" w:eastAsia="Batang" w:hAnsi="Times" w:cs="Times New Roman"/>
          <w:i/>
          <w:sz w:val="20"/>
          <w:szCs w:val="20"/>
          <w:lang w:val="en-GB"/>
        </w:rPr>
        <w:t>Complexity</w:t>
      </w:r>
    </w:p>
    <w:p w14:paraId="52F572DB" w14:textId="77777777" w:rsidR="00716598" w:rsidRPr="00E46576" w:rsidRDefault="00716598" w:rsidP="00716598">
      <w:pPr>
        <w:numPr>
          <w:ilvl w:val="1"/>
          <w:numId w:val="8"/>
        </w:numPr>
        <w:spacing w:after="0" w:line="240" w:lineRule="auto"/>
        <w:rPr>
          <w:rFonts w:ascii="Times" w:eastAsia="Batang" w:hAnsi="Times" w:cs="Times New Roman"/>
          <w:i/>
          <w:sz w:val="20"/>
          <w:szCs w:val="20"/>
          <w:lang w:val="en-GB"/>
        </w:rPr>
      </w:pPr>
      <w:r w:rsidRPr="00E46576">
        <w:rPr>
          <w:rFonts w:ascii="Times" w:eastAsia="Batang" w:hAnsi="Times" w:cs="Times New Roman"/>
          <w:i/>
          <w:sz w:val="20"/>
          <w:szCs w:val="20"/>
          <w:lang w:val="en-GB"/>
        </w:rPr>
        <w:t>Power consumption</w:t>
      </w:r>
    </w:p>
    <w:p w14:paraId="2D4426B5" w14:textId="77777777" w:rsidR="00716598" w:rsidRPr="00293502" w:rsidRDefault="00716598" w:rsidP="00716598">
      <w:pPr>
        <w:rPr>
          <w:lang w:eastAsia="zh-CN"/>
        </w:rPr>
      </w:pPr>
    </w:p>
    <w:p w14:paraId="2A8DBDDB" w14:textId="77777777" w:rsidR="00716598" w:rsidRPr="00E46576" w:rsidRDefault="00716598" w:rsidP="00716598">
      <w:pPr>
        <w:spacing w:after="120"/>
        <w:jc w:val="both"/>
        <w:rPr>
          <w:rFonts w:ascii="Arial" w:hAnsi="Arial" w:cs="Arial"/>
          <w:b/>
          <w:u w:val="single"/>
          <w:lang w:eastAsia="zh-CN"/>
        </w:rPr>
      </w:pPr>
      <w:r w:rsidRPr="00E46576">
        <w:rPr>
          <w:rFonts w:ascii="Arial" w:hAnsi="Arial" w:cs="Arial"/>
          <w:lang w:eastAsia="zh-CN"/>
        </w:rPr>
        <w:t xml:space="preserve">Easy multiplexing into existing NR frame structure with existing signals/channel formats would be a key consideration. Since WUS is an additional signal for NW to transmit, the overhead should be kept to minimum, and there should be flexibility to dynamically reassign the WUS resources for other appropriate channels/signals.  </w:t>
      </w:r>
      <w:r w:rsidRPr="002366B4">
        <w:rPr>
          <w:rFonts w:ascii="Arial" w:hAnsi="Arial" w:cs="Arial"/>
          <w:lang w:eastAsia="zh-CN"/>
        </w:rPr>
        <w:t xml:space="preserve">Since the existing PDCCH structure can be fully reused (CORESETs, Search space, </w:t>
      </w:r>
      <w:proofErr w:type="spellStart"/>
      <w:r w:rsidRPr="002366B4">
        <w:rPr>
          <w:rFonts w:ascii="Arial" w:hAnsi="Arial" w:cs="Arial"/>
          <w:lang w:eastAsia="zh-CN"/>
        </w:rPr>
        <w:t>etc</w:t>
      </w:r>
      <w:proofErr w:type="spellEnd"/>
      <w:r w:rsidRPr="002366B4">
        <w:rPr>
          <w:rFonts w:ascii="Arial" w:hAnsi="Arial" w:cs="Arial"/>
          <w:lang w:eastAsia="zh-CN"/>
        </w:rPr>
        <w:t>), with appropriate configuration, the WUS commands can be addressed to single UE or group of UEs as needed.</w:t>
      </w:r>
    </w:p>
    <w:p w14:paraId="1AB934B5" w14:textId="77777777" w:rsidR="00716598" w:rsidRPr="008E40F5" w:rsidRDefault="00716598" w:rsidP="00716598">
      <w:pPr>
        <w:spacing w:after="120"/>
        <w:jc w:val="both"/>
        <w:rPr>
          <w:rFonts w:ascii="Arial" w:hAnsi="Arial" w:cs="Arial"/>
          <w:lang w:eastAsia="zh-CN"/>
        </w:rPr>
      </w:pPr>
      <w:r w:rsidRPr="00816A97">
        <w:rPr>
          <w:rFonts w:ascii="Arial" w:hAnsi="Arial" w:cs="Arial"/>
          <w:lang w:eastAsia="zh-CN"/>
        </w:rPr>
        <w:lastRenderedPageBreak/>
        <w:t xml:space="preserve">Reusing existing signals/channels reduces complexity while providing efficient coexistence/multiplexing. </w:t>
      </w:r>
      <w:r w:rsidRPr="008E40F5">
        <w:rPr>
          <w:rFonts w:ascii="Arial" w:hAnsi="Arial" w:cs="Arial"/>
          <w:lang w:eastAsia="zh-CN"/>
        </w:rPr>
        <w:t xml:space="preserve">The PDCCH-based WUS design described in </w:t>
      </w:r>
      <w:r>
        <w:rPr>
          <w:rFonts w:ascii="Arial" w:hAnsi="Arial" w:cs="Arial"/>
          <w:lang w:eastAsia="zh-CN"/>
        </w:rPr>
        <w:t xml:space="preserve">next </w:t>
      </w:r>
      <w:r w:rsidRPr="008E40F5">
        <w:rPr>
          <w:rFonts w:ascii="Arial" w:hAnsi="Arial" w:cs="Arial"/>
          <w:lang w:eastAsia="zh-CN"/>
        </w:rPr>
        <w:t xml:space="preserve">section reuses existing PDCCH resources, and structure as well. From a configuration perspective, the existing coreset and search space structure can be fully reused to configure WUS along with an offset value to indicate the placement relative to the </w:t>
      </w:r>
      <w:proofErr w:type="gramStart"/>
      <w:r w:rsidRPr="008E40F5">
        <w:rPr>
          <w:rFonts w:ascii="Arial" w:hAnsi="Arial" w:cs="Arial"/>
          <w:lang w:eastAsia="zh-CN"/>
        </w:rPr>
        <w:t>On</w:t>
      </w:r>
      <w:proofErr w:type="gramEnd"/>
      <w:r w:rsidRPr="008E40F5">
        <w:rPr>
          <w:rFonts w:ascii="Arial" w:hAnsi="Arial" w:cs="Arial"/>
          <w:lang w:eastAsia="zh-CN"/>
        </w:rPr>
        <w:t xml:space="preserve"> duration. </w:t>
      </w:r>
    </w:p>
    <w:p w14:paraId="4E27B56E" w14:textId="77777777" w:rsidR="00716598" w:rsidRDefault="00716598" w:rsidP="00716598">
      <w:pPr>
        <w:spacing w:after="120"/>
        <w:jc w:val="both"/>
        <w:rPr>
          <w:rFonts w:ascii="Arial" w:hAnsi="Arial" w:cs="Arial"/>
          <w:lang w:eastAsia="zh-CN"/>
        </w:rPr>
      </w:pPr>
      <w:r w:rsidRPr="00816A97">
        <w:rPr>
          <w:rFonts w:ascii="Arial" w:hAnsi="Arial" w:cs="Arial"/>
          <w:lang w:eastAsia="zh-CN"/>
        </w:rPr>
        <w:t xml:space="preserve">Robustness should be ensured in the overall design so that configuration of WUS does not adversely affect NW performance and/or key performance indicators. The cost of missed WUS at the UE side can be more significant compared to falsely detecting WUS at the UE side. If UE misses a WUS sent by </w:t>
      </w:r>
      <w:proofErr w:type="spellStart"/>
      <w:r w:rsidRPr="00816A97">
        <w:rPr>
          <w:rFonts w:ascii="Arial" w:hAnsi="Arial" w:cs="Arial"/>
          <w:lang w:eastAsia="zh-CN"/>
        </w:rPr>
        <w:t>gNB</w:t>
      </w:r>
      <w:proofErr w:type="spellEnd"/>
      <w:r w:rsidRPr="00816A97">
        <w:rPr>
          <w:rFonts w:ascii="Arial" w:hAnsi="Arial" w:cs="Arial"/>
          <w:lang w:eastAsia="zh-CN"/>
        </w:rPr>
        <w:t xml:space="preserve">, then it can mean large delay in packet transmissions (i.e. NW has to wait until the subsequent WUS occasion and On duration), and increased wastage of network resources since NW may realize that UE has missed detecting WUS after several slots (e.g. DTX on HARQ feedback) and all the transmissions to that UE until then are wasted. If UE falsely detects a WUS even though </w:t>
      </w:r>
      <w:proofErr w:type="spellStart"/>
      <w:r w:rsidRPr="00816A97">
        <w:rPr>
          <w:rFonts w:ascii="Arial" w:hAnsi="Arial" w:cs="Arial"/>
          <w:lang w:eastAsia="zh-CN"/>
        </w:rPr>
        <w:t>gNB</w:t>
      </w:r>
      <w:proofErr w:type="spellEnd"/>
      <w:r w:rsidRPr="00816A97">
        <w:rPr>
          <w:rFonts w:ascii="Arial" w:hAnsi="Arial" w:cs="Arial"/>
          <w:lang w:eastAsia="zh-CN"/>
        </w:rPr>
        <w:t xml:space="preserve"> has not sent WUS, then the UE will be wakeup and perform some unnecessary PDCCH monitoring and go back to DRX at the end of the </w:t>
      </w:r>
      <w:proofErr w:type="gramStart"/>
      <w:r w:rsidRPr="00816A97">
        <w:rPr>
          <w:rFonts w:ascii="Arial" w:hAnsi="Arial" w:cs="Arial"/>
          <w:lang w:eastAsia="zh-CN"/>
        </w:rPr>
        <w:t>On</w:t>
      </w:r>
      <w:proofErr w:type="gramEnd"/>
      <w:r w:rsidRPr="00816A97">
        <w:rPr>
          <w:rFonts w:ascii="Arial" w:hAnsi="Arial" w:cs="Arial"/>
          <w:lang w:eastAsia="zh-CN"/>
        </w:rPr>
        <w:t xml:space="preserve"> duration. While this increases power consumption a bit, there is no severe implication of a false detect on other KPIs such as latency, etc.</w:t>
      </w:r>
    </w:p>
    <w:p w14:paraId="64682735" w14:textId="77777777" w:rsidR="00716598" w:rsidRPr="00816A97" w:rsidRDefault="00716598" w:rsidP="00716598">
      <w:pPr>
        <w:spacing w:after="120"/>
        <w:jc w:val="both"/>
        <w:rPr>
          <w:rFonts w:ascii="Arial" w:hAnsi="Arial" w:cs="Arial"/>
          <w:lang w:eastAsia="zh-CN"/>
        </w:rPr>
      </w:pPr>
      <w:r>
        <w:rPr>
          <w:rFonts w:ascii="Arial" w:hAnsi="Arial" w:cs="Arial"/>
          <w:lang w:eastAsia="zh-CN"/>
        </w:rPr>
        <w:t>The WUS missed detection performance should be as good or better than PDCCH miss rate of ~1%. The WUS false alarm rate requirement can be more relaxed than miss detection rate since the implication is some additional power consumption at the UE side.</w:t>
      </w:r>
    </w:p>
    <w:p w14:paraId="0AB50BD3" w14:textId="77777777" w:rsidR="00716598" w:rsidRDefault="00716598" w:rsidP="00716598">
      <w:pPr>
        <w:spacing w:after="120"/>
        <w:jc w:val="both"/>
        <w:rPr>
          <w:rFonts w:ascii="Arial" w:hAnsi="Arial" w:cs="Arial"/>
          <w:lang w:eastAsia="zh-CN"/>
        </w:rPr>
      </w:pPr>
      <w:r w:rsidRPr="00816A97">
        <w:rPr>
          <w:rFonts w:ascii="Arial" w:hAnsi="Arial" w:cs="Arial"/>
          <w:lang w:eastAsia="zh-CN"/>
        </w:rPr>
        <w:t xml:space="preserve">The detection performance of a PDCCH-based WUS is shown in </w:t>
      </w:r>
      <w:r>
        <w:rPr>
          <w:rFonts w:ascii="Arial" w:hAnsi="Arial" w:cs="Arial"/>
          <w:lang w:eastAsia="zh-CN"/>
        </w:rPr>
        <w:t xml:space="preserve">next </w:t>
      </w:r>
      <w:r w:rsidRPr="00816A97">
        <w:rPr>
          <w:rFonts w:ascii="Arial" w:hAnsi="Arial" w:cs="Arial"/>
          <w:lang w:eastAsia="zh-CN"/>
        </w:rPr>
        <w:t xml:space="preserve">section.  </w:t>
      </w:r>
      <w:r>
        <w:rPr>
          <w:rFonts w:ascii="Arial" w:hAnsi="Arial" w:cs="Arial"/>
          <w:lang w:eastAsia="zh-CN"/>
        </w:rPr>
        <w:t xml:space="preserve">The results show that </w:t>
      </w:r>
      <w:r w:rsidRPr="005C0D34">
        <w:rPr>
          <w:rFonts w:ascii="Arial" w:hAnsi="Arial" w:cs="Arial"/>
          <w:lang w:eastAsia="zh-CN"/>
        </w:rPr>
        <w:t>DCI with smaller number of information bits (e.g. DCI 0_0/1_0 with larger number of padding bits) provides better detection performance compared to DCI with larger number of information bits (e.g. DCI 0_0/1_0 with smaller/no number of padding bits).</w:t>
      </w:r>
    </w:p>
    <w:p w14:paraId="5E9362E2" w14:textId="77777777" w:rsidR="00716598" w:rsidRPr="00816A97" w:rsidRDefault="00716598" w:rsidP="00716598">
      <w:pPr>
        <w:spacing w:after="120"/>
        <w:jc w:val="both"/>
        <w:rPr>
          <w:rFonts w:ascii="Arial" w:hAnsi="Arial" w:cs="Arial"/>
          <w:lang w:eastAsia="zh-CN"/>
        </w:rPr>
      </w:pPr>
      <w:r>
        <w:rPr>
          <w:rFonts w:ascii="Arial" w:hAnsi="Arial" w:cs="Arial"/>
        </w:rPr>
        <w:t>System-level evaluation results WUS are shown in [3].</w:t>
      </w:r>
    </w:p>
    <w:p w14:paraId="57457202" w14:textId="77777777" w:rsidR="00716598" w:rsidRPr="00816A97" w:rsidRDefault="00716598" w:rsidP="00716598">
      <w:pPr>
        <w:spacing w:after="120"/>
        <w:jc w:val="both"/>
        <w:rPr>
          <w:rFonts w:ascii="Arial" w:hAnsi="Arial" w:cs="Arial"/>
          <w:lang w:eastAsia="zh-CN"/>
        </w:rPr>
      </w:pPr>
      <w:r w:rsidRPr="00816A97">
        <w:rPr>
          <w:rFonts w:ascii="Arial" w:hAnsi="Arial" w:cs="Arial"/>
          <w:lang w:eastAsia="zh-CN"/>
        </w:rPr>
        <w:t xml:space="preserve">Based on the above, we propose that wakeup signal should be supported </w:t>
      </w:r>
      <w:r>
        <w:rPr>
          <w:rFonts w:ascii="Arial" w:hAnsi="Arial" w:cs="Arial"/>
          <w:lang w:eastAsia="zh-CN"/>
        </w:rPr>
        <w:t xml:space="preserve">as the power savings signal </w:t>
      </w:r>
      <w:r w:rsidRPr="00816A97">
        <w:rPr>
          <w:rFonts w:ascii="Arial" w:hAnsi="Arial" w:cs="Arial"/>
          <w:lang w:eastAsia="zh-CN"/>
        </w:rPr>
        <w:t>to reduce UE power consumption.</w:t>
      </w:r>
    </w:p>
    <w:p w14:paraId="1E33A4E0" w14:textId="77777777" w:rsidR="00716598" w:rsidRDefault="00716598" w:rsidP="00A12093">
      <w:pPr>
        <w:pStyle w:val="Proposal"/>
        <w:numPr>
          <w:ilvl w:val="0"/>
          <w:numId w:val="0"/>
        </w:numPr>
        <w:spacing w:line="254" w:lineRule="auto"/>
        <w:ind w:left="1304" w:hanging="1304"/>
      </w:pPr>
    </w:p>
    <w:p w14:paraId="3E48D94D" w14:textId="77777777" w:rsidR="00716598" w:rsidRPr="00281D35" w:rsidRDefault="00716598" w:rsidP="00716598">
      <w:pPr>
        <w:pStyle w:val="Proposal"/>
      </w:pPr>
      <w:bookmarkStart w:id="46" w:name="_Toc1162337"/>
      <w:r w:rsidRPr="001659E7">
        <w:t>Wakeup signal</w:t>
      </w:r>
      <w:r>
        <w:t xml:space="preserve"> is supported as a DL power saving signal and/or channel</w:t>
      </w:r>
      <w:r w:rsidRPr="001659E7">
        <w:t>.</w:t>
      </w:r>
      <w:bookmarkEnd w:id="46"/>
      <w:r w:rsidRPr="001659E7">
        <w:t xml:space="preserve">  </w:t>
      </w:r>
    </w:p>
    <w:p w14:paraId="0BC53418" w14:textId="77777777" w:rsidR="00716598" w:rsidRDefault="00716598" w:rsidP="00716598">
      <w:pPr>
        <w:pStyle w:val="Heading1"/>
      </w:pPr>
      <w:r>
        <w:t xml:space="preserve">5 PDCCH-based WUS design </w:t>
      </w:r>
    </w:p>
    <w:p w14:paraId="276C3D62" w14:textId="77777777" w:rsidR="00716598" w:rsidRPr="00816A97" w:rsidRDefault="00716598" w:rsidP="00716598">
      <w:pPr>
        <w:pStyle w:val="BodyText"/>
        <w:rPr>
          <w:color w:val="000000" w:themeColor="text1"/>
        </w:rPr>
      </w:pPr>
      <w:r w:rsidRPr="00816A97">
        <w:rPr>
          <w:color w:val="000000" w:themeColor="text1"/>
        </w:rPr>
        <w:t xml:space="preserve">In this section, we discuss the design and performance of a wake-up signal based on reuse of existing Rel-15 PDCCH structure and compare the performance with different variants of the information embedded on the corresponding resource elements. </w:t>
      </w:r>
    </w:p>
    <w:p w14:paraId="7E7BA912" w14:textId="77777777" w:rsidR="00716598" w:rsidRDefault="00716598" w:rsidP="00716598">
      <w:pPr>
        <w:jc w:val="both"/>
        <w:rPr>
          <w:rFonts w:ascii="Arial" w:hAnsi="Arial" w:cs="Arial"/>
          <w:lang w:val="en-GB" w:eastAsia="ja-JP"/>
        </w:rPr>
      </w:pPr>
      <w:r>
        <w:rPr>
          <w:rFonts w:ascii="Arial" w:hAnsi="Arial" w:cs="Arial"/>
          <w:lang w:val="en-GB" w:eastAsia="ja-JP"/>
        </w:rPr>
        <w:t xml:space="preserve">In DCI-based WUS, the wakeup command is transmitted through the DCI (or WUS-DCI). For example, different UEs can be addressed via different UE-specific DCI payload (or contents), UE-specific RNTI mask on the encoded CRC or by applying UE-specific scrambling on the PDCCH. An example DCI-based wake-up signal generation process is shown in Figure 1 (reusing Rel-15 PDCCH encoding structure). </w:t>
      </w:r>
    </w:p>
    <w:p w14:paraId="69121AE3" w14:textId="77777777" w:rsidR="00716598" w:rsidRDefault="00716598" w:rsidP="00716598">
      <w:pPr>
        <w:keepNext/>
        <w:jc w:val="both"/>
      </w:pPr>
      <w:r>
        <w:rPr>
          <w:noProof/>
          <w:lang w:val="en-GB" w:eastAsia="ja-JP"/>
        </w:rPr>
        <w:drawing>
          <wp:inline distT="0" distB="0" distL="0" distR="0" wp14:anchorId="499F85FA" wp14:editId="07E3B4EB">
            <wp:extent cx="5514975" cy="1200150"/>
            <wp:effectExtent l="0" t="0" r="28575" b="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14:paraId="769E6056" w14:textId="77777777" w:rsidR="00716598" w:rsidRPr="00816A97" w:rsidRDefault="00716598" w:rsidP="00716598">
      <w:pPr>
        <w:spacing w:before="120" w:after="120"/>
        <w:jc w:val="both"/>
        <w:rPr>
          <w:b/>
          <w:lang w:eastAsia="en-GB"/>
        </w:rPr>
      </w:pPr>
      <w:r w:rsidRPr="00816A97">
        <w:rPr>
          <w:b/>
          <w:lang w:eastAsia="en-GB"/>
        </w:rPr>
        <w:t xml:space="preserve">Figure </w:t>
      </w:r>
      <w:r>
        <w:rPr>
          <w:b/>
          <w:lang w:eastAsia="en-GB"/>
        </w:rPr>
        <w:fldChar w:fldCharType="begin"/>
      </w:r>
      <w:r w:rsidRPr="00816A97">
        <w:rPr>
          <w:b/>
          <w:lang w:eastAsia="en-GB"/>
        </w:rPr>
        <w:instrText xml:space="preserve"> SEQ Figure \* ARABIC </w:instrText>
      </w:r>
      <w:r>
        <w:rPr>
          <w:b/>
          <w:lang w:eastAsia="en-GB"/>
        </w:rPr>
        <w:fldChar w:fldCharType="separate"/>
      </w:r>
      <w:r w:rsidRPr="00816A97">
        <w:rPr>
          <w:b/>
          <w:noProof/>
          <w:lang w:eastAsia="en-GB"/>
        </w:rPr>
        <w:t>7</w:t>
      </w:r>
      <w:r>
        <w:rPr>
          <w:b/>
          <w:lang w:eastAsia="en-GB"/>
        </w:rPr>
        <w:fldChar w:fldCharType="end"/>
      </w:r>
      <w:r w:rsidRPr="00816A97">
        <w:rPr>
          <w:b/>
          <w:lang w:eastAsia="en-GB"/>
        </w:rPr>
        <w:t>: DCI-based Wake-Up Signal Generation.</w:t>
      </w:r>
    </w:p>
    <w:p w14:paraId="34E2B655" w14:textId="77777777" w:rsidR="00716598" w:rsidRPr="00816A97" w:rsidRDefault="00716598" w:rsidP="00716598">
      <w:pPr>
        <w:pStyle w:val="BodyText"/>
        <w:rPr>
          <w:color w:val="000000" w:themeColor="text1"/>
        </w:rPr>
      </w:pPr>
    </w:p>
    <w:p w14:paraId="7879B4B7" w14:textId="77777777" w:rsidR="00716598" w:rsidRDefault="00716598" w:rsidP="00716598">
      <w:pPr>
        <w:jc w:val="both"/>
        <w:rPr>
          <w:rFonts w:ascii="Arial" w:hAnsi="Arial" w:cs="Arial"/>
          <w:lang w:val="en-GB" w:eastAsia="ja-JP"/>
        </w:rPr>
      </w:pPr>
      <w:r w:rsidRPr="00816A97">
        <w:rPr>
          <w:rFonts w:ascii="Arial" w:hAnsi="Arial" w:cs="Arial"/>
          <w:lang w:eastAsia="en-GB"/>
        </w:rPr>
        <w:t xml:space="preserve">DCI-based WUS </w:t>
      </w:r>
      <w:r>
        <w:rPr>
          <w:rFonts w:ascii="Arial" w:hAnsi="Arial" w:cs="Arial"/>
          <w:lang w:eastAsia="en-GB"/>
        </w:rPr>
        <w:t>can be detected using</w:t>
      </w:r>
      <w:r w:rsidRPr="00816A97">
        <w:rPr>
          <w:rFonts w:ascii="Arial" w:hAnsi="Arial" w:cs="Arial"/>
          <w:lang w:eastAsia="en-GB"/>
        </w:rPr>
        <w:t xml:space="preserve"> regular PDCCH receiver. A successful WU-DCI detection (such as CRC pass) would indicate the UE to </w:t>
      </w:r>
      <w:proofErr w:type="spellStart"/>
      <w:r w:rsidRPr="00816A97">
        <w:rPr>
          <w:rFonts w:ascii="Arial" w:hAnsi="Arial" w:cs="Arial"/>
          <w:lang w:eastAsia="en-GB"/>
        </w:rPr>
        <w:t>wakeup</w:t>
      </w:r>
      <w:proofErr w:type="spellEnd"/>
      <w:r w:rsidRPr="00816A97">
        <w:rPr>
          <w:rFonts w:ascii="Arial" w:hAnsi="Arial" w:cs="Arial"/>
          <w:lang w:eastAsia="en-GB"/>
        </w:rPr>
        <w:t xml:space="preserve"> and start monitoring PDCCH. Otherwise, if no WU-DCI is detected, the UE can skip monitoring PDCCH (or simply sleep). </w:t>
      </w:r>
      <w:r>
        <w:rPr>
          <w:rFonts w:ascii="Arial" w:hAnsi="Arial" w:cs="Arial"/>
          <w:lang w:val="en-GB" w:eastAsia="ja-JP"/>
        </w:rPr>
        <w:t xml:space="preserve">Such a detection procedure would involve an FFT operation, performing channel estimation, channel equalization, and finally the polar-decoding operation. A significant advantage is the reusability of the existing Rel-15 PDCCH transmit and receive processing blocks. </w:t>
      </w:r>
    </w:p>
    <w:p w14:paraId="7016C883" w14:textId="77777777" w:rsidR="00716598" w:rsidRDefault="00716598" w:rsidP="00716598">
      <w:pPr>
        <w:jc w:val="both"/>
        <w:rPr>
          <w:rFonts w:ascii="Arial" w:hAnsi="Arial" w:cs="Arial"/>
          <w:lang w:val="en-GB" w:eastAsia="ja-JP"/>
        </w:rPr>
      </w:pPr>
      <w:r>
        <w:rPr>
          <w:rFonts w:ascii="Arial" w:hAnsi="Arial" w:cs="Arial"/>
          <w:lang w:val="en-GB" w:eastAsia="ja-JP"/>
        </w:rPr>
        <w:t xml:space="preserve">If the wakeup DCI has very short payload (e.g. 1-bit wake-up command), then the UE could improve the detection performance by taking any additional information (regarding possible padding bits, etc) into the Polar SSCL decoding.  </w:t>
      </w:r>
    </w:p>
    <w:p w14:paraId="3517497E" w14:textId="77777777" w:rsidR="00716598" w:rsidRPr="00816A97" w:rsidRDefault="00716598" w:rsidP="00716598">
      <w:pPr>
        <w:jc w:val="both"/>
        <w:rPr>
          <w:rFonts w:ascii="Arial" w:hAnsi="Arial" w:cs="Arial"/>
          <w:lang w:eastAsia="en-GB"/>
        </w:rPr>
      </w:pPr>
      <w:r w:rsidRPr="00816A97">
        <w:rPr>
          <w:rFonts w:ascii="Arial" w:hAnsi="Arial" w:cs="Arial"/>
          <w:lang w:eastAsia="en-GB"/>
        </w:rPr>
        <w:t>Alternatively, in case of very short payload (1-bit wakeup command), the entire DCI processing could be effectively yielding a single(or two) scrambling sequences at the output, and the UE can use simple linear correlator by performing correlation between received time-domain signal and a dedicated wake-up signal template which is known to the UE (i.e. from the effective scrambling sequence). Such a scheme can facilitate the design of low-powered wake-up receivers.</w:t>
      </w:r>
    </w:p>
    <w:p w14:paraId="596B4302" w14:textId="77777777" w:rsidR="00716598" w:rsidRDefault="00716598" w:rsidP="00716598">
      <w:pPr>
        <w:keepNext/>
        <w:jc w:val="both"/>
      </w:pPr>
      <w:r>
        <w:rPr>
          <w:noProof/>
          <w:lang w:val="en-GB" w:eastAsia="ja-JP"/>
        </w:rPr>
        <w:drawing>
          <wp:inline distT="0" distB="0" distL="0" distR="0" wp14:anchorId="45A060D4" wp14:editId="34AF8D77">
            <wp:extent cx="5495544" cy="740664"/>
            <wp:effectExtent l="19050" t="0" r="10160" b="0"/>
            <wp:docPr id="11" name="Diagram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02F69493" w14:textId="77777777" w:rsidR="00716598" w:rsidRPr="00816A97" w:rsidRDefault="00716598" w:rsidP="00716598">
      <w:pPr>
        <w:spacing w:before="120" w:after="120"/>
        <w:jc w:val="both"/>
        <w:rPr>
          <w:rFonts w:ascii="Arial" w:hAnsi="Arial" w:cs="Arial"/>
          <w:b/>
          <w:lang w:eastAsia="ja-JP"/>
        </w:rPr>
      </w:pPr>
      <w:r w:rsidRPr="00816A97">
        <w:rPr>
          <w:b/>
          <w:lang w:eastAsia="en-GB"/>
        </w:rPr>
        <w:t xml:space="preserve">Figure </w:t>
      </w:r>
      <w:r>
        <w:rPr>
          <w:b/>
          <w:lang w:eastAsia="en-GB"/>
        </w:rPr>
        <w:fldChar w:fldCharType="begin"/>
      </w:r>
      <w:r w:rsidRPr="00816A97">
        <w:rPr>
          <w:b/>
          <w:lang w:eastAsia="en-GB"/>
        </w:rPr>
        <w:instrText xml:space="preserve"> SEQ Figure \* ARABIC </w:instrText>
      </w:r>
      <w:r>
        <w:rPr>
          <w:b/>
          <w:lang w:eastAsia="en-GB"/>
        </w:rPr>
        <w:fldChar w:fldCharType="separate"/>
      </w:r>
      <w:r w:rsidRPr="00816A97">
        <w:rPr>
          <w:b/>
          <w:noProof/>
          <w:lang w:eastAsia="en-GB"/>
        </w:rPr>
        <w:t>8</w:t>
      </w:r>
      <w:r>
        <w:rPr>
          <w:b/>
          <w:lang w:eastAsia="en-GB"/>
        </w:rPr>
        <w:fldChar w:fldCharType="end"/>
      </w:r>
      <w:r w:rsidRPr="00816A97">
        <w:rPr>
          <w:b/>
          <w:lang w:eastAsia="en-GB"/>
        </w:rPr>
        <w:t>: A Rel-15 PDCCH receiver used as wakeup signal detector for WU-DCI.</w:t>
      </w:r>
    </w:p>
    <w:p w14:paraId="48AE6DA5" w14:textId="77777777" w:rsidR="00716598" w:rsidRDefault="00716598" w:rsidP="00716598">
      <w:pPr>
        <w:jc w:val="both"/>
        <w:rPr>
          <w:rFonts w:ascii="Arial" w:hAnsi="Arial" w:cs="Arial"/>
          <w:lang w:val="en-GB" w:eastAsia="ja-JP"/>
        </w:rPr>
      </w:pPr>
    </w:p>
    <w:p w14:paraId="66B12D28" w14:textId="77777777" w:rsidR="00716598" w:rsidRDefault="00716598" w:rsidP="00716598">
      <w:pPr>
        <w:jc w:val="both"/>
        <w:rPr>
          <w:rFonts w:ascii="Arial" w:hAnsi="Arial" w:cs="Arial"/>
          <w:lang w:val="en-GB" w:eastAsia="ja-JP"/>
        </w:rPr>
      </w:pPr>
      <w:r>
        <w:rPr>
          <w:rFonts w:ascii="Arial" w:hAnsi="Arial" w:cs="Arial"/>
          <w:lang w:val="en-GB" w:eastAsia="ja-JP"/>
        </w:rPr>
        <w:t xml:space="preserve">Instead of WUS-DCI, sequences can be assigned on a UE-specific basis, and UE can use a sequence detector to identify whether WUS was transmitted or not. For achieving similar benefits as WUS-DCI, the sequence-based WUS can be mapped to existing PDCCH resources using leveraging most of the benefits offered by Rel-15 PDCCH design (such as given AL/SS/Coreset, narrow in time, configurable in BW, etc). </w:t>
      </w:r>
    </w:p>
    <w:p w14:paraId="361E3CAF" w14:textId="77777777" w:rsidR="00716598" w:rsidRPr="00281D35" w:rsidRDefault="00716598" w:rsidP="00716598">
      <w:pPr>
        <w:pStyle w:val="BodyText"/>
        <w:rPr>
          <w:color w:val="000000" w:themeColor="text1"/>
        </w:rPr>
      </w:pPr>
      <w:r>
        <w:rPr>
          <w:rFonts w:cs="Arial"/>
          <w:lang w:val="en-GB" w:eastAsia="ja-JP"/>
        </w:rPr>
        <w:t xml:space="preserve">For detection, UEs can again use simple linear correlator by performing correlation between received time-domain signal and a dedicated wake-up signal template which is known to the UE (i.e. from the UE-specific sequence). Such a scheme can also facilitate the design of low-powered wake-up receivers. The uniqueness of these wake-up signals is, dependent upon the level of cross-correlation, which will also affect the detection and false-alarm performance when such correlators are used. </w:t>
      </w:r>
    </w:p>
    <w:p w14:paraId="410AE7A8" w14:textId="77777777" w:rsidR="00716598" w:rsidRPr="00281D35" w:rsidRDefault="00716598" w:rsidP="00716598">
      <w:pPr>
        <w:pStyle w:val="Proposal"/>
      </w:pPr>
      <w:bookmarkStart w:id="47" w:name="_Toc535010461"/>
      <w:bookmarkStart w:id="48" w:name="_Toc1162338"/>
      <w:r>
        <w:t>Wake-up signal</w:t>
      </w:r>
      <w:r w:rsidRPr="00281D35">
        <w:t xml:space="preserve"> </w:t>
      </w:r>
      <w:r>
        <w:t xml:space="preserve">(WUS) </w:t>
      </w:r>
      <w:r w:rsidRPr="00281D35">
        <w:t>based on PDCCH</w:t>
      </w:r>
      <w:r>
        <w:t xml:space="preserve"> is supported as DL power saving signal and/or </w:t>
      </w:r>
      <w:proofErr w:type="gramStart"/>
      <w:r>
        <w:t xml:space="preserve">channel </w:t>
      </w:r>
      <w:r w:rsidRPr="00281D35">
        <w:t>.</w:t>
      </w:r>
      <w:proofErr w:type="gramEnd"/>
      <w:r w:rsidRPr="00281D35">
        <w:t xml:space="preserve"> WUS design should allow low power receiver </w:t>
      </w:r>
      <w:r>
        <w:t>(</w:t>
      </w:r>
      <w:r w:rsidRPr="00281D35">
        <w:t>e.g. correlation-based</w:t>
      </w:r>
      <w:r>
        <w:t>)</w:t>
      </w:r>
      <w:r w:rsidRPr="00281D35">
        <w:t xml:space="preserve"> and consider </w:t>
      </w:r>
      <w:r>
        <w:t xml:space="preserve">aspects including </w:t>
      </w:r>
      <w:r w:rsidRPr="00281D35">
        <w:t xml:space="preserve">misdetection, false alarm rate, </w:t>
      </w:r>
      <w:r>
        <w:t xml:space="preserve">synchronization requirements, </w:t>
      </w:r>
      <w:r w:rsidRPr="00281D35">
        <w:t>latency and coexistence with other NR channels and signals.</w:t>
      </w:r>
      <w:bookmarkEnd w:id="47"/>
      <w:bookmarkEnd w:id="48"/>
      <w:r w:rsidRPr="00281D35">
        <w:t xml:space="preserve"> </w:t>
      </w:r>
    </w:p>
    <w:p w14:paraId="5A65E8F4" w14:textId="77777777" w:rsidR="00716598" w:rsidRDefault="00716598" w:rsidP="00716598">
      <w:pPr>
        <w:pStyle w:val="Heading2"/>
      </w:pPr>
      <w:r>
        <w:t xml:space="preserve">5.1 </w:t>
      </w:r>
      <w:r w:rsidRPr="00F80644">
        <w:t>Detection Performance</w:t>
      </w:r>
    </w:p>
    <w:p w14:paraId="12A6B914" w14:textId="77777777" w:rsidR="00716598" w:rsidRDefault="00716598" w:rsidP="00716598">
      <w:pPr>
        <w:jc w:val="both"/>
        <w:rPr>
          <w:rFonts w:ascii="Arial" w:hAnsi="Arial" w:cs="Arial"/>
          <w:lang w:val="en-GB" w:eastAsia="ja-JP"/>
        </w:rPr>
      </w:pPr>
      <w:r>
        <w:rPr>
          <w:rFonts w:ascii="Arial" w:hAnsi="Arial" w:cs="Arial"/>
          <w:lang w:val="en-GB" w:eastAsia="ja-JP"/>
        </w:rPr>
        <w:t xml:space="preserve">In this section, we present link-level results for WUS detection performance. </w:t>
      </w:r>
    </w:p>
    <w:p w14:paraId="2116DEFA" w14:textId="77777777" w:rsidR="00716598" w:rsidRDefault="00716598" w:rsidP="00716598">
      <w:pPr>
        <w:jc w:val="both"/>
        <w:rPr>
          <w:lang w:val="en-GB" w:eastAsia="ja-JP"/>
        </w:rPr>
      </w:pPr>
      <w:r>
        <w:rPr>
          <w:rFonts w:ascii="Arial" w:hAnsi="Arial" w:cs="Arial"/>
          <w:lang w:val="en-GB" w:eastAsia="ja-JP"/>
        </w:rPr>
        <w:t xml:space="preserve">The system parameters used for the simulations are as follows: 100 MHz bandwidth with 30 kHz numerology, PDCCH coreset bandwidth is set to 100 MHz with a one symbol Coreset and Coreset type is of the non-interleaved type. The fading channel is of type TDL-C and the UE speed is to set 3 kmph. </w:t>
      </w:r>
    </w:p>
    <w:p w14:paraId="0574E4D5" w14:textId="77777777" w:rsidR="00716598" w:rsidRDefault="00716598" w:rsidP="00716598">
      <w:pPr>
        <w:jc w:val="both"/>
        <w:rPr>
          <w:rFonts w:ascii="Arial" w:hAnsi="Arial" w:cs="Arial"/>
          <w:lang w:val="en-GB" w:eastAsia="ja-JP"/>
        </w:rPr>
      </w:pPr>
      <w:r>
        <w:rPr>
          <w:rFonts w:ascii="Arial" w:hAnsi="Arial" w:cs="Arial"/>
          <w:lang w:val="en-GB" w:eastAsia="ja-JP"/>
        </w:rPr>
        <w:lastRenderedPageBreak/>
        <w:t>First, we look at DCI-based WUS with simple PDCCH decoder, comparing a 4-bit DCI payload vs 30-bit payload and with RNTI on the CRC mask, with 24-bit CRC used for path selection. For convenience (and to distinguish from next set of results using correlator-based decoding of DCI-based WUS), we use RNTI-based WUS as legend for the case when DCI-based WUS with simple PDCCH decoder.</w:t>
      </w:r>
    </w:p>
    <w:p w14:paraId="707B61D8" w14:textId="77777777" w:rsidR="00716598" w:rsidRDefault="00716598" w:rsidP="00716598">
      <w:pPr>
        <w:jc w:val="both"/>
        <w:rPr>
          <w:rFonts w:ascii="Arial" w:hAnsi="Arial" w:cs="Arial"/>
          <w:lang w:val="en-GB" w:eastAsia="ja-JP"/>
        </w:rPr>
      </w:pPr>
      <w:r>
        <w:rPr>
          <w:rFonts w:ascii="Arial" w:hAnsi="Arial" w:cs="Arial"/>
          <w:lang w:val="en-GB" w:eastAsia="ja-JP"/>
        </w:rPr>
        <w:t>The figures show gains in detection performance due to compact 4-bit DCI, and improved performance with increase WUS BW. We note the same performance as a 4-bit DCI can be achieved by using a longer DCI with 4 information bits and remaining bits set to 0 i.e. padding bits. Additional results are in Annex A.</w:t>
      </w:r>
    </w:p>
    <w:p w14:paraId="48658A96" w14:textId="77777777" w:rsidR="00716598" w:rsidRDefault="00716598" w:rsidP="00716598">
      <w:pPr>
        <w:jc w:val="both"/>
        <w:rPr>
          <w:rFonts w:ascii="Arial" w:hAnsi="Arial" w:cs="Arial"/>
          <w:lang w:val="en-GB" w:eastAsia="ja-JP"/>
        </w:rPr>
      </w:pPr>
      <w:r>
        <w:rPr>
          <w:rFonts w:ascii="Arial" w:hAnsi="Arial" w:cs="Arial"/>
          <w:lang w:val="en-GB" w:eastAsia="ja-JP"/>
        </w:rPr>
        <w:t xml:space="preserve">The FAR in Figure 8 is quite low, as expected from the 24-bit CRC. Such a mechanism thereby provides robust false-alarm (&lt; 1e-6, which might be excessive, and some of the CRC bits can be used for error correction).  On the other hand, the performance of detection is heavily influenced by the fading channel, thereby, it will be dependent upon the effective code-rate. Further performance improvements can be expected if some of the distributed CRC bits are used for error correction (i.e. as dynamic frozen for penalizing path metrics) instead of plain error detection. </w:t>
      </w:r>
    </w:p>
    <w:p w14:paraId="7A8284B7" w14:textId="77777777" w:rsidR="00716598" w:rsidRDefault="00716598" w:rsidP="00716598">
      <w:pPr>
        <w:rPr>
          <w:rFonts w:ascii="Arial" w:hAnsi="Arial" w:cs="Arial"/>
          <w:lang w:eastAsia="en-GB"/>
        </w:rPr>
      </w:pPr>
      <w:r w:rsidRPr="00281D35">
        <w:rPr>
          <w:rFonts w:ascii="Arial" w:hAnsi="Arial" w:cs="Arial"/>
          <w:lang w:eastAsia="en-GB"/>
        </w:rPr>
        <w:t xml:space="preserve">We make the following observations. </w:t>
      </w:r>
    </w:p>
    <w:p w14:paraId="7C2A53B8" w14:textId="77777777" w:rsidR="00716598" w:rsidRPr="00E46576" w:rsidRDefault="00716598" w:rsidP="00716598">
      <w:pPr>
        <w:pStyle w:val="Observation"/>
        <w:numPr>
          <w:ilvl w:val="0"/>
          <w:numId w:val="5"/>
        </w:numPr>
        <w:spacing w:line="254" w:lineRule="auto"/>
        <w:ind w:left="1701" w:hanging="1701"/>
      </w:pPr>
      <w:bookmarkStart w:id="49" w:name="_Toc1142822"/>
      <w:bookmarkStart w:id="50" w:name="_Toc1142865"/>
      <w:bookmarkStart w:id="51" w:name="_Toc1162352"/>
      <w:bookmarkEnd w:id="49"/>
      <w:bookmarkEnd w:id="50"/>
      <w:r w:rsidRPr="00E46576">
        <w:t>Detection performance of PDCCH decoding of DCI-WUS is dependent upon the effective code-rate, determined by information bits in the payload and AL.</w:t>
      </w:r>
      <w:bookmarkEnd w:id="51"/>
      <w:r w:rsidRPr="00E46576">
        <w:t xml:space="preserve"> </w:t>
      </w:r>
    </w:p>
    <w:p w14:paraId="7EDAA1C4" w14:textId="77777777" w:rsidR="00716598" w:rsidRDefault="00716598" w:rsidP="00716598">
      <w:pPr>
        <w:pStyle w:val="Observation"/>
        <w:numPr>
          <w:ilvl w:val="0"/>
          <w:numId w:val="5"/>
        </w:numPr>
        <w:spacing w:line="254" w:lineRule="auto"/>
        <w:ind w:left="1701" w:hanging="1701"/>
      </w:pPr>
      <w:bookmarkStart w:id="52" w:name="_Toc1162353"/>
      <w:r w:rsidRPr="00E46576">
        <w:t>DCI with smaller number of information bits (e.g. DCI 0_0/1_0 with larger number of padding bits) provides better detection performance compared to DCI with larger number of information bits (e.g. DCI 0_0/1_0 with smaller/no number of padding bits).</w:t>
      </w:r>
      <w:bookmarkEnd w:id="52"/>
      <w:r w:rsidRPr="00E46576">
        <w:t xml:space="preserve"> </w:t>
      </w:r>
    </w:p>
    <w:p w14:paraId="247CDA02" w14:textId="77777777" w:rsidR="00716598" w:rsidRPr="00567606" w:rsidRDefault="00716598" w:rsidP="00716598">
      <w:pPr>
        <w:pStyle w:val="Observation"/>
        <w:numPr>
          <w:ilvl w:val="0"/>
          <w:numId w:val="5"/>
        </w:numPr>
        <w:spacing w:line="254" w:lineRule="auto"/>
        <w:ind w:left="1701" w:hanging="1701"/>
      </w:pPr>
      <w:bookmarkStart w:id="53" w:name="_Toc1162354"/>
      <w:r w:rsidRPr="00567606">
        <w:t>Performance of DCI-WUS can be further improved by trading off false-alarm vs missed detection in PDCCH decoding.</w:t>
      </w:r>
      <w:bookmarkEnd w:id="53"/>
    </w:p>
    <w:p w14:paraId="64C457AA" w14:textId="77777777" w:rsidR="00716598" w:rsidRDefault="00716598" w:rsidP="00716598">
      <w:pPr>
        <w:keepNext/>
        <w:rPr>
          <w:rFonts w:ascii="Arial" w:hAnsi="Arial" w:cs="Arial"/>
          <w:lang w:val="en-GB" w:eastAsia="ja-JP"/>
        </w:rPr>
      </w:pPr>
      <w:r w:rsidRPr="00281D35">
        <w:t xml:space="preserve">  </w:t>
      </w:r>
      <w:r w:rsidRPr="003168C2">
        <w:rPr>
          <w:rFonts w:ascii="Arial" w:hAnsi="Arial" w:cs="Arial"/>
          <w:noProof/>
          <w:lang w:val="en-GB" w:eastAsia="ja-JP"/>
        </w:rPr>
        <w:drawing>
          <wp:inline distT="0" distB="0" distL="0" distR="0" wp14:anchorId="4DD2F003" wp14:editId="304E7E81">
            <wp:extent cx="5806440" cy="330098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06440" cy="3300984"/>
                    </a:xfrm>
                    <a:prstGeom prst="rect">
                      <a:avLst/>
                    </a:prstGeom>
                    <a:noFill/>
                    <a:ln>
                      <a:noFill/>
                    </a:ln>
                  </pic:spPr>
                </pic:pic>
              </a:graphicData>
            </a:graphic>
          </wp:inline>
        </w:drawing>
      </w:r>
    </w:p>
    <w:p w14:paraId="5B6405E6" w14:textId="77777777" w:rsidR="00716598" w:rsidRPr="00281D35" w:rsidRDefault="00716598" w:rsidP="00716598">
      <w:pPr>
        <w:pStyle w:val="Caption"/>
        <w:jc w:val="both"/>
      </w:pPr>
      <w:r w:rsidRPr="00281D35">
        <w:t xml:space="preserve">Figure </w:t>
      </w:r>
      <w:r>
        <w:fldChar w:fldCharType="begin"/>
      </w:r>
      <w:r w:rsidRPr="00281D35">
        <w:instrText xml:space="preserve"> SEQ Figure \* ARABIC </w:instrText>
      </w:r>
      <w:r>
        <w:fldChar w:fldCharType="separate"/>
      </w:r>
      <w:r>
        <w:t>8</w:t>
      </w:r>
      <w:r>
        <w:fldChar w:fldCharType="end"/>
      </w:r>
      <w:r w:rsidRPr="00281D35">
        <w:t>. Probability of detection and false-alarm of RNTI-based wakeup signal (i.e. DCI-based WUS with PDCCH decoder). The channel delay spread is 300e-9 seconds.</w:t>
      </w:r>
    </w:p>
    <w:p w14:paraId="27432D09" w14:textId="77777777" w:rsidR="00716598" w:rsidRDefault="00716598" w:rsidP="00716598">
      <w:pPr>
        <w:pStyle w:val="ListParagraph"/>
        <w:jc w:val="both"/>
        <w:rPr>
          <w:lang w:val="en-GB" w:eastAsia="ja-JP"/>
        </w:rPr>
      </w:pPr>
    </w:p>
    <w:p w14:paraId="57237BFF" w14:textId="77777777" w:rsidR="00716598" w:rsidRDefault="00716598" w:rsidP="00716598">
      <w:pPr>
        <w:jc w:val="both"/>
        <w:rPr>
          <w:rFonts w:ascii="Arial" w:hAnsi="Arial" w:cs="Arial"/>
          <w:lang w:val="en-GB" w:eastAsia="ja-JP"/>
        </w:rPr>
      </w:pPr>
      <w:r>
        <w:rPr>
          <w:rFonts w:ascii="Arial" w:hAnsi="Arial" w:cs="Arial"/>
          <w:lang w:val="en-GB" w:eastAsia="ja-JP"/>
        </w:rPr>
        <w:lastRenderedPageBreak/>
        <w:t>We also compare the following options using a time-domain linear correlator in below figure (more plots in Annex B):</w:t>
      </w:r>
    </w:p>
    <w:p w14:paraId="0758DBA7" w14:textId="77777777" w:rsidR="00716598" w:rsidRDefault="00716598" w:rsidP="00716598">
      <w:pPr>
        <w:pStyle w:val="ListParagraph"/>
        <w:numPr>
          <w:ilvl w:val="0"/>
          <w:numId w:val="6"/>
        </w:numPr>
        <w:spacing w:line="256" w:lineRule="auto"/>
        <w:jc w:val="both"/>
        <w:rPr>
          <w:rFonts w:ascii="Arial" w:hAnsi="Arial" w:cs="Arial"/>
          <w:lang w:val="en-GB" w:eastAsia="ja-JP"/>
        </w:rPr>
      </w:pPr>
      <w:r>
        <w:rPr>
          <w:rFonts w:ascii="Arial" w:hAnsi="Arial" w:cs="Arial"/>
          <w:lang w:val="en-GB" w:eastAsia="ja-JP"/>
        </w:rPr>
        <w:t>DCI-based WUS (as described in Figure 2)</w:t>
      </w:r>
    </w:p>
    <w:p w14:paraId="76EF4C5D" w14:textId="77777777" w:rsidR="00716598" w:rsidRDefault="00716598" w:rsidP="00716598">
      <w:pPr>
        <w:pStyle w:val="ListParagraph"/>
        <w:numPr>
          <w:ilvl w:val="1"/>
          <w:numId w:val="6"/>
        </w:numPr>
        <w:spacing w:line="256" w:lineRule="auto"/>
        <w:jc w:val="both"/>
        <w:rPr>
          <w:rFonts w:ascii="Arial" w:hAnsi="Arial" w:cs="Arial"/>
          <w:lang w:val="en-GB" w:eastAsia="ja-JP"/>
        </w:rPr>
      </w:pPr>
      <w:r>
        <w:rPr>
          <w:rFonts w:ascii="Arial" w:hAnsi="Arial" w:cs="Arial"/>
          <w:lang w:val="en-GB" w:eastAsia="ja-JP"/>
        </w:rPr>
        <w:t xml:space="preserve">The equivalent sequence is given by the output of the PDCCH scrambling block. A fixed 30-bit UE-specific DCI payload content is used. </w:t>
      </w:r>
    </w:p>
    <w:p w14:paraId="55517C8D" w14:textId="77777777" w:rsidR="00716598" w:rsidRDefault="00716598" w:rsidP="00716598">
      <w:pPr>
        <w:pStyle w:val="ListParagraph"/>
        <w:numPr>
          <w:ilvl w:val="0"/>
          <w:numId w:val="6"/>
        </w:numPr>
        <w:spacing w:line="256" w:lineRule="auto"/>
        <w:jc w:val="both"/>
        <w:rPr>
          <w:rFonts w:ascii="Arial" w:hAnsi="Arial" w:cs="Arial"/>
          <w:lang w:val="en-GB" w:eastAsia="ja-JP"/>
        </w:rPr>
      </w:pPr>
      <w:r>
        <w:rPr>
          <w:rFonts w:ascii="Arial" w:hAnsi="Arial" w:cs="Arial"/>
          <w:lang w:val="en-GB" w:eastAsia="ja-JP"/>
        </w:rPr>
        <w:t>Sequence-based WUS with a sequence transmitted on PDCCH resources</w:t>
      </w:r>
    </w:p>
    <w:p w14:paraId="3224154D" w14:textId="77777777" w:rsidR="00716598" w:rsidRDefault="00716598" w:rsidP="00716598">
      <w:pPr>
        <w:pStyle w:val="ListParagraph"/>
        <w:numPr>
          <w:ilvl w:val="1"/>
          <w:numId w:val="6"/>
        </w:numPr>
        <w:spacing w:line="256" w:lineRule="auto"/>
        <w:jc w:val="both"/>
        <w:rPr>
          <w:rFonts w:ascii="Arial" w:hAnsi="Arial" w:cs="Arial"/>
          <w:lang w:val="en-GB" w:eastAsia="ja-JP"/>
        </w:rPr>
      </w:pPr>
      <w:r>
        <w:rPr>
          <w:rFonts w:ascii="Arial" w:hAnsi="Arial" w:cs="Arial"/>
          <w:lang w:val="en-GB" w:eastAsia="ja-JP"/>
        </w:rPr>
        <w:t>using sequences derived from length 31 Gold sequences as specified in [2], and by using C-RNTI in the sequence initializer and mapped to PDCCH resources.</w:t>
      </w:r>
    </w:p>
    <w:p w14:paraId="2D51E9EA" w14:textId="77777777" w:rsidR="00716598" w:rsidRDefault="00716598" w:rsidP="00716598">
      <w:pPr>
        <w:jc w:val="both"/>
        <w:rPr>
          <w:rFonts w:ascii="Arial" w:hAnsi="Arial" w:cs="Arial"/>
          <w:lang w:val="en-GB" w:eastAsia="ja-JP"/>
        </w:rPr>
      </w:pPr>
    </w:p>
    <w:p w14:paraId="3A877FAA" w14:textId="77777777" w:rsidR="00716598" w:rsidRPr="00C5728D" w:rsidRDefault="00716598" w:rsidP="00716598">
      <w:pPr>
        <w:pStyle w:val="BodyText"/>
        <w:keepNext/>
      </w:pPr>
      <w:r w:rsidRPr="00986D72">
        <w:rPr>
          <w:noProof/>
        </w:rPr>
        <w:drawing>
          <wp:inline distT="0" distB="0" distL="0" distR="0" wp14:anchorId="4E57E56B" wp14:editId="1D090973">
            <wp:extent cx="5833872" cy="331927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33872" cy="3319272"/>
                    </a:xfrm>
                    <a:prstGeom prst="rect">
                      <a:avLst/>
                    </a:prstGeom>
                    <a:noFill/>
                    <a:ln>
                      <a:noFill/>
                    </a:ln>
                  </pic:spPr>
                </pic:pic>
              </a:graphicData>
            </a:graphic>
          </wp:inline>
        </w:drawing>
      </w:r>
      <w:r w:rsidRPr="00C5728D" w:rsidDel="00986D72">
        <w:t xml:space="preserve"> </w:t>
      </w:r>
    </w:p>
    <w:p w14:paraId="7B39656F" w14:textId="77777777" w:rsidR="00716598" w:rsidRDefault="00716598" w:rsidP="00716598">
      <w:pPr>
        <w:pStyle w:val="Caption"/>
        <w:jc w:val="both"/>
      </w:pPr>
      <w:r w:rsidRPr="00C5728D">
        <w:t xml:space="preserve">Figure </w:t>
      </w:r>
      <w:r>
        <w:rPr>
          <w:noProof/>
        </w:rPr>
        <w:fldChar w:fldCharType="begin"/>
      </w:r>
      <w:r w:rsidRPr="00C5728D">
        <w:rPr>
          <w:noProof/>
        </w:rPr>
        <w:instrText xml:space="preserve"> SEQ Figure \* ARABIC </w:instrText>
      </w:r>
      <w:r>
        <w:rPr>
          <w:noProof/>
        </w:rPr>
        <w:fldChar w:fldCharType="separate"/>
      </w:r>
      <w:r>
        <w:rPr>
          <w:noProof/>
        </w:rPr>
        <w:t>9</w:t>
      </w:r>
      <w:r>
        <w:rPr>
          <w:noProof/>
        </w:rPr>
        <w:fldChar w:fldCharType="end"/>
      </w:r>
      <w:r w:rsidRPr="00C5728D">
        <w:t xml:space="preserve">. Probability of detection versus false-alarm at SNR equal to -6 </w:t>
      </w:r>
      <w:proofErr w:type="spellStart"/>
      <w:r w:rsidRPr="00C5728D">
        <w:t>dB.</w:t>
      </w:r>
      <w:proofErr w:type="spellEnd"/>
      <w:r w:rsidRPr="00C5728D">
        <w:t xml:space="preserve"> </w:t>
      </w:r>
      <w:r>
        <w:t>Channel delay spread is 300e-9 seconds.</w:t>
      </w:r>
    </w:p>
    <w:p w14:paraId="63F55ADE" w14:textId="77777777" w:rsidR="00716598" w:rsidRDefault="00716598" w:rsidP="00716598">
      <w:pPr>
        <w:jc w:val="both"/>
        <w:rPr>
          <w:rFonts w:ascii="Arial" w:hAnsi="Arial" w:cs="Arial"/>
          <w:lang w:val="en-GB" w:eastAsia="ja-JP"/>
        </w:rPr>
      </w:pPr>
      <w:r>
        <w:rPr>
          <w:rFonts w:ascii="Arial" w:hAnsi="Arial" w:cs="Arial"/>
          <w:lang w:val="en-GB" w:eastAsia="ja-JP"/>
        </w:rPr>
        <w:t xml:space="preserve">From figures 9 and 10, we see similar performance for both these types of wakeup signals and observe that better detection and false alarm performance occurs for higher wakeup signal bandwidths. </w:t>
      </w:r>
      <w:r w:rsidRPr="00605B7F">
        <w:rPr>
          <w:rFonts w:ascii="Arial" w:hAnsi="Arial" w:cs="Arial"/>
          <w:lang w:val="en-GB" w:eastAsia="ja-JP"/>
        </w:rPr>
        <w:t xml:space="preserve">DCI-WUS and sequence-based WUS allow for the realization of low-powered wake-up receivers, whereby the detection of the wake-up signals is done using simple time-domain correlators. For both DCI-WUS and sequenced-based WUS, in case of low SINRs, it is only possible to reach a miss detection of 0.1 % for highest AL/bandwidth and low delay spread. </w:t>
      </w:r>
    </w:p>
    <w:p w14:paraId="56ABE71D" w14:textId="77777777" w:rsidR="00716598" w:rsidRDefault="00716598" w:rsidP="00A12093">
      <w:pPr>
        <w:pStyle w:val="Observation"/>
        <w:numPr>
          <w:ilvl w:val="0"/>
          <w:numId w:val="0"/>
        </w:numPr>
        <w:spacing w:line="254" w:lineRule="auto"/>
        <w:ind w:left="360" w:hanging="360"/>
        <w:rPr>
          <w:rFonts w:cs="Arial"/>
          <w:lang w:val="en-GB"/>
        </w:rPr>
      </w:pPr>
      <w:bookmarkStart w:id="54" w:name="_Toc534885386"/>
      <w:bookmarkStart w:id="55" w:name="_Toc534887576"/>
      <w:bookmarkStart w:id="56" w:name="_Toc534887950"/>
      <w:bookmarkStart w:id="57" w:name="_Toc534891179"/>
      <w:bookmarkStart w:id="58" w:name="_Toc534891955"/>
      <w:bookmarkEnd w:id="54"/>
      <w:bookmarkEnd w:id="55"/>
      <w:bookmarkEnd w:id="56"/>
      <w:bookmarkEnd w:id="57"/>
      <w:bookmarkEnd w:id="58"/>
    </w:p>
    <w:p w14:paraId="1BCE3607" w14:textId="77777777" w:rsidR="00716598" w:rsidRDefault="00716598" w:rsidP="00716598">
      <w:pPr>
        <w:pStyle w:val="Heading1"/>
      </w:pPr>
      <w:r>
        <w:t xml:space="preserve">6 GTS and Reduced PDCCH monitoring </w:t>
      </w:r>
    </w:p>
    <w:p w14:paraId="50FB72FF" w14:textId="77777777" w:rsidR="00716598" w:rsidRPr="00C5728D" w:rsidRDefault="00716598" w:rsidP="00716598">
      <w:pPr>
        <w:spacing w:after="120"/>
        <w:jc w:val="both"/>
        <w:rPr>
          <w:rFonts w:ascii="Arial" w:hAnsi="Arial"/>
          <w:lang w:eastAsia="zh-CN"/>
        </w:rPr>
      </w:pPr>
      <w:r w:rsidRPr="00C5728D">
        <w:rPr>
          <w:rFonts w:ascii="Arial" w:hAnsi="Arial"/>
          <w:lang w:eastAsia="zh-CN"/>
        </w:rPr>
        <w:t xml:space="preserve">Go-to-sleep is a mechanism by which a </w:t>
      </w:r>
      <w:proofErr w:type="spellStart"/>
      <w:r w:rsidRPr="00C5728D">
        <w:rPr>
          <w:rFonts w:ascii="Arial" w:hAnsi="Arial"/>
          <w:lang w:eastAsia="zh-CN"/>
        </w:rPr>
        <w:t>gNB</w:t>
      </w:r>
      <w:proofErr w:type="spellEnd"/>
      <w:r w:rsidRPr="00C5728D">
        <w:rPr>
          <w:rFonts w:ascii="Arial" w:hAnsi="Arial"/>
          <w:lang w:eastAsia="zh-CN"/>
        </w:rPr>
        <w:t xml:space="preserve"> can send UE to sleep, for example, in CDRX, UE can go to sleep when Inactivity timer expires. While there are several variants of GTS, it is noted that MAC based go-to-sleep is already supported in Rel-15. </w:t>
      </w:r>
    </w:p>
    <w:p w14:paraId="59779347" w14:textId="77777777" w:rsidR="00716598" w:rsidRDefault="00716598" w:rsidP="00716598">
      <w:pPr>
        <w:jc w:val="both"/>
        <w:rPr>
          <w:rFonts w:ascii="Arial" w:hAnsi="Arial" w:cs="Arial"/>
          <w:lang w:eastAsia="zh-CN"/>
        </w:rPr>
      </w:pPr>
      <w:r w:rsidRPr="00C5728D">
        <w:rPr>
          <w:rFonts w:ascii="Arial" w:hAnsi="Arial" w:cs="Arial"/>
          <w:lang w:eastAsia="zh-CN"/>
        </w:rPr>
        <w:t xml:space="preserve">In MAC command-based mechanism, when UE is monitoring PDCCH, </w:t>
      </w:r>
      <w:proofErr w:type="spellStart"/>
      <w:r w:rsidRPr="00C5728D">
        <w:rPr>
          <w:rFonts w:ascii="Arial" w:hAnsi="Arial" w:cs="Arial"/>
          <w:lang w:eastAsia="zh-CN"/>
        </w:rPr>
        <w:t>gNB</w:t>
      </w:r>
      <w:proofErr w:type="spellEnd"/>
      <w:r w:rsidRPr="00C5728D">
        <w:rPr>
          <w:rFonts w:ascii="Arial" w:hAnsi="Arial" w:cs="Arial"/>
          <w:lang w:eastAsia="zh-CN"/>
        </w:rPr>
        <w:t xml:space="preserve"> can send it to DRX via explicit DRX MAC command CE by stopping the Inactivity and any </w:t>
      </w:r>
      <w:proofErr w:type="gramStart"/>
      <w:r w:rsidRPr="00C5728D">
        <w:rPr>
          <w:rFonts w:ascii="Arial" w:hAnsi="Arial" w:cs="Arial"/>
          <w:lang w:eastAsia="zh-CN"/>
        </w:rPr>
        <w:t>On</w:t>
      </w:r>
      <w:proofErr w:type="gramEnd"/>
      <w:r w:rsidRPr="00C5728D">
        <w:rPr>
          <w:rFonts w:ascii="Arial" w:hAnsi="Arial" w:cs="Arial"/>
          <w:lang w:eastAsia="zh-CN"/>
        </w:rPr>
        <w:t xml:space="preserve"> duration timers (see 38.321). Thus, if the NW has set a large Inactivity timer and has no more data to send to a UE, then the NW can use a DRX MAC command CE to immediately send the UE to sleep and save power. Given this </w:t>
      </w:r>
      <w:r w:rsidRPr="00C5728D">
        <w:rPr>
          <w:rFonts w:ascii="Arial" w:hAnsi="Arial" w:cs="Arial"/>
          <w:lang w:eastAsia="zh-CN"/>
        </w:rPr>
        <w:lastRenderedPageBreak/>
        <w:t xml:space="preserve">mechanism is already supported in Rel-15 DRX design, it is good to take this into account in the overall GTS design and power savings evaluations. </w:t>
      </w:r>
      <w:r>
        <w:rPr>
          <w:rFonts w:ascii="Arial" w:hAnsi="Arial" w:cs="Arial"/>
          <w:lang w:eastAsia="zh-CN"/>
        </w:rPr>
        <w:t xml:space="preserve">An example is illustrated in Figure 8 below. </w:t>
      </w:r>
    </w:p>
    <w:p w14:paraId="5B59E12F" w14:textId="77777777" w:rsidR="00716598" w:rsidRPr="00E46576" w:rsidRDefault="00716598" w:rsidP="00716598">
      <w:pPr>
        <w:pStyle w:val="Observation"/>
      </w:pPr>
      <w:bookmarkStart w:id="59" w:name="_Toc535010468"/>
      <w:bookmarkStart w:id="60" w:name="_Toc1162355"/>
      <w:r w:rsidRPr="00E46576">
        <w:t>Existing Rel-15 DRX MAC Command CE can be utilized for sending UE to sleep to reduce power consumption due to large Inactivity timer setting, etc.</w:t>
      </w:r>
      <w:bookmarkEnd w:id="59"/>
      <w:bookmarkEnd w:id="60"/>
      <w:r w:rsidRPr="00E46576">
        <w:t xml:space="preserve">  </w:t>
      </w:r>
    </w:p>
    <w:p w14:paraId="2220B279" w14:textId="77777777" w:rsidR="00716598" w:rsidRPr="00C5728D" w:rsidRDefault="00716598" w:rsidP="00716598">
      <w:pPr>
        <w:jc w:val="both"/>
        <w:rPr>
          <w:lang w:eastAsia="zh-CN"/>
        </w:rPr>
      </w:pPr>
    </w:p>
    <w:p w14:paraId="5B6BA319" w14:textId="77777777" w:rsidR="00716598" w:rsidRDefault="00716598" w:rsidP="00716598">
      <w:pPr>
        <w:pStyle w:val="ListParagraph"/>
        <w:keepNext/>
        <w:spacing w:after="120"/>
        <w:jc w:val="both"/>
      </w:pPr>
      <w:r>
        <w:rPr>
          <w:rFonts w:ascii="Arial" w:hAnsi="Arial"/>
          <w:noProof/>
          <w:sz w:val="20"/>
          <w:szCs w:val="20"/>
          <w:lang w:eastAsia="zh-CN"/>
        </w:rPr>
        <w:drawing>
          <wp:inline distT="0" distB="0" distL="0" distR="0" wp14:anchorId="7EBC3081" wp14:editId="149DB9C1">
            <wp:extent cx="4924425" cy="2028825"/>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24425" cy="2028825"/>
                    </a:xfrm>
                    <a:prstGeom prst="rect">
                      <a:avLst/>
                    </a:prstGeom>
                    <a:noFill/>
                    <a:ln>
                      <a:noFill/>
                    </a:ln>
                  </pic:spPr>
                </pic:pic>
              </a:graphicData>
            </a:graphic>
          </wp:inline>
        </w:drawing>
      </w:r>
    </w:p>
    <w:p w14:paraId="4B5CD970" w14:textId="77777777" w:rsidR="00716598" w:rsidRPr="00C5728D" w:rsidRDefault="00716598" w:rsidP="00716598">
      <w:pPr>
        <w:pStyle w:val="Caption"/>
        <w:jc w:val="both"/>
        <w:rPr>
          <w:rFonts w:ascii="Arial" w:hAnsi="Arial"/>
          <w:sz w:val="20"/>
          <w:szCs w:val="20"/>
          <w:lang w:eastAsia="zh-CN"/>
        </w:rPr>
      </w:pPr>
      <w:r w:rsidRPr="00C5728D">
        <w:t xml:space="preserve">Figure </w:t>
      </w:r>
      <w:r>
        <w:rPr>
          <w:noProof/>
        </w:rPr>
        <w:fldChar w:fldCharType="begin"/>
      </w:r>
      <w:r w:rsidRPr="00C5728D">
        <w:rPr>
          <w:noProof/>
        </w:rPr>
        <w:instrText xml:space="preserve"> SEQ Figure \* ARABIC </w:instrText>
      </w:r>
      <w:r>
        <w:rPr>
          <w:noProof/>
        </w:rPr>
        <w:fldChar w:fldCharType="separate"/>
      </w:r>
      <w:r w:rsidRPr="00C5728D">
        <w:rPr>
          <w:noProof/>
        </w:rPr>
        <w:t>13</w:t>
      </w:r>
      <w:r>
        <w:rPr>
          <w:noProof/>
        </w:rPr>
        <w:fldChar w:fldCharType="end"/>
      </w:r>
      <w:r w:rsidRPr="00C5728D">
        <w:t>. Illustration of DRX operation using WUS and using Rel-15 DRX MAC command CE-based GTS.</w:t>
      </w:r>
    </w:p>
    <w:p w14:paraId="440E71FB" w14:textId="77777777" w:rsidR="00716598" w:rsidRPr="00C5728D" w:rsidRDefault="00716598" w:rsidP="00716598">
      <w:pPr>
        <w:pStyle w:val="BodyText"/>
        <w:rPr>
          <w:color w:val="000000" w:themeColor="text1"/>
        </w:rPr>
      </w:pPr>
      <w:bookmarkStart w:id="61" w:name="_Toc534885393"/>
      <w:bookmarkStart w:id="62" w:name="_Toc534887583"/>
      <w:bookmarkStart w:id="63" w:name="_Toc534887958"/>
      <w:bookmarkEnd w:id="61"/>
      <w:bookmarkEnd w:id="62"/>
      <w:bookmarkEnd w:id="63"/>
      <w:r w:rsidRPr="00C5728D">
        <w:rPr>
          <w:color w:val="000000" w:themeColor="text1"/>
        </w:rPr>
        <w:t xml:space="preserve">Next, we discuss GTS using a L1-based mechanism (i.e. GTS in DCI) of NW telling the UE to go-to-sleep. Like MAC-based GTS, in this case the NW indicates to the UE that nothing will be scheduled for it and UE can simply go to sleep. </w:t>
      </w:r>
    </w:p>
    <w:p w14:paraId="79379148" w14:textId="77777777" w:rsidR="00716598" w:rsidRPr="00C5728D" w:rsidRDefault="00716598" w:rsidP="00716598">
      <w:pPr>
        <w:pStyle w:val="BodyText"/>
        <w:rPr>
          <w:color w:val="000000" w:themeColor="text1"/>
        </w:rPr>
      </w:pPr>
      <w:r w:rsidRPr="00C5728D">
        <w:rPr>
          <w:color w:val="000000" w:themeColor="text1"/>
        </w:rPr>
        <w:t xml:space="preserve">While the L1-based scheme may provide some additional power savings (MAC processing latency vs L1 processing latency), for the case with large Inactivity timers where GTS can be helpful, the relative gains of L1-based scheme (over MAC-based) may not be significant. Moreover, missed GTS-DCI assignments can lead to increase in UE power consumption as UE is awake unnecessarily, which can be avoided by MAC-based GTS which considers the feedback from the UE side.  </w:t>
      </w:r>
    </w:p>
    <w:p w14:paraId="63CD74F6" w14:textId="77777777" w:rsidR="00716598" w:rsidRPr="00C5728D" w:rsidRDefault="00716598" w:rsidP="00716598">
      <w:pPr>
        <w:pStyle w:val="BodyText"/>
        <w:rPr>
          <w:color w:val="000000" w:themeColor="text1"/>
        </w:rPr>
      </w:pPr>
      <w:r w:rsidRPr="00C5728D">
        <w:rPr>
          <w:color w:val="000000" w:themeColor="text1"/>
        </w:rPr>
        <w:t xml:space="preserve">Designing DCI </w:t>
      </w:r>
      <w:r>
        <w:rPr>
          <w:color w:val="000000" w:themeColor="text1"/>
        </w:rPr>
        <w:t xml:space="preserve">based mechanism </w:t>
      </w:r>
      <w:r w:rsidRPr="00C5728D">
        <w:rPr>
          <w:color w:val="000000" w:themeColor="text1"/>
        </w:rPr>
        <w:t xml:space="preserve">can be beneficial if it can be either be used for enhancing sleep operation </w:t>
      </w:r>
      <w:r>
        <w:rPr>
          <w:color w:val="000000" w:themeColor="text1"/>
        </w:rPr>
        <w:t xml:space="preserve">or reduced PDCCH monitoring </w:t>
      </w:r>
      <w:r w:rsidRPr="00C5728D">
        <w:rPr>
          <w:color w:val="000000" w:themeColor="text1"/>
        </w:rPr>
        <w:t xml:space="preserve">than to simply address the </w:t>
      </w:r>
      <w:r>
        <w:rPr>
          <w:color w:val="000000" w:themeColor="text1"/>
        </w:rPr>
        <w:t xml:space="preserve">long </w:t>
      </w:r>
      <w:r w:rsidRPr="00C5728D">
        <w:rPr>
          <w:color w:val="000000" w:themeColor="text1"/>
        </w:rPr>
        <w:t xml:space="preserve">Inactivity timer issue. </w:t>
      </w:r>
      <w:r>
        <w:rPr>
          <w:color w:val="000000" w:themeColor="text1"/>
        </w:rPr>
        <w:t xml:space="preserve">To reduce unnecessary packet delays, the sleep period should be relatively small (a few slots) so that the packet for the UE can be scheduled without long delays. Therefore, we propose that DCI based mechanism to reduce PDCCH monitoring/GTS is supported. </w:t>
      </w:r>
    </w:p>
    <w:p w14:paraId="5C0CDA4E" w14:textId="77777777" w:rsidR="00716598" w:rsidRPr="00C5728D" w:rsidRDefault="00716598" w:rsidP="00716598">
      <w:pPr>
        <w:pStyle w:val="Proposal"/>
        <w:spacing w:line="254" w:lineRule="auto"/>
      </w:pPr>
      <w:bookmarkStart w:id="64" w:name="_Toc1137224"/>
      <w:bookmarkStart w:id="65" w:name="_Toc1137584"/>
      <w:bookmarkStart w:id="66" w:name="_Toc1138832"/>
      <w:bookmarkStart w:id="67" w:name="_Toc1139014"/>
      <w:bookmarkStart w:id="68" w:name="_Toc1139893"/>
      <w:bookmarkStart w:id="69" w:name="_Toc1142834"/>
      <w:bookmarkStart w:id="70" w:name="_Toc1142877"/>
      <w:bookmarkStart w:id="71" w:name="_Toc534891030"/>
      <w:bookmarkStart w:id="72" w:name="_Toc534891190"/>
      <w:bookmarkStart w:id="73" w:name="_Toc534891213"/>
      <w:bookmarkStart w:id="74" w:name="_Toc534891252"/>
      <w:bookmarkStart w:id="75" w:name="_Toc534891270"/>
      <w:bookmarkStart w:id="76" w:name="_Toc534891330"/>
      <w:bookmarkStart w:id="77" w:name="_Toc534891442"/>
      <w:bookmarkStart w:id="78" w:name="_Toc534891703"/>
      <w:bookmarkStart w:id="79" w:name="_Toc534891726"/>
      <w:bookmarkStart w:id="80" w:name="_Toc534891785"/>
      <w:bookmarkStart w:id="81" w:name="_Toc534891965"/>
      <w:bookmarkStart w:id="82" w:name="_Toc535010462"/>
      <w:bookmarkStart w:id="83" w:name="_Toc528269411"/>
      <w:bookmarkStart w:id="84" w:name="_Toc528961514"/>
      <w:bookmarkStart w:id="85" w:name="_Hlk1131353"/>
      <w:bookmarkStart w:id="86" w:name="_Toc1162339"/>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sidRPr="00C5728D">
        <w:t xml:space="preserve">DCI based mechanism </w:t>
      </w:r>
      <w:r>
        <w:t>facilitating reduced PDCCH monitoring/GTS should be supported. Such schemes should</w:t>
      </w:r>
      <w:r w:rsidRPr="00C5728D">
        <w:t xml:space="preserve"> complement the Rel-15 MAC Command CE-based mechanism.</w:t>
      </w:r>
      <w:bookmarkEnd w:id="82"/>
      <w:bookmarkEnd w:id="86"/>
      <w:r w:rsidRPr="00C5728D">
        <w:t xml:space="preserve"> </w:t>
      </w:r>
      <w:bookmarkEnd w:id="83"/>
      <w:bookmarkEnd w:id="84"/>
    </w:p>
    <w:bookmarkEnd w:id="85"/>
    <w:p w14:paraId="741FD37A" w14:textId="77777777" w:rsidR="00716598" w:rsidRDefault="00716598" w:rsidP="00716598">
      <w:pPr>
        <w:pStyle w:val="Heading1"/>
      </w:pPr>
      <w:r>
        <w:t>7</w:t>
      </w:r>
      <w:r>
        <w:tab/>
        <w:t>Adaptation to the variation in frequency</w:t>
      </w:r>
    </w:p>
    <w:p w14:paraId="0400D3CE" w14:textId="77777777" w:rsidR="00716598" w:rsidRPr="00293502" w:rsidRDefault="00716598" w:rsidP="00716598">
      <w:pPr>
        <w:jc w:val="both"/>
        <w:rPr>
          <w:rFonts w:ascii="Arial" w:hAnsi="Arial"/>
          <w:lang w:eastAsia="zh-CN"/>
        </w:rPr>
      </w:pPr>
      <w:r w:rsidRPr="008E40F5">
        <w:rPr>
          <w:rFonts w:ascii="Arial" w:hAnsi="Arial"/>
          <w:lang w:eastAsia="zh-CN"/>
        </w:rPr>
        <w:t xml:space="preserve">Association of BWP with DRX operation can potentially lead to power savings. </w:t>
      </w:r>
      <w:r w:rsidRPr="00795CB0">
        <w:rPr>
          <w:rFonts w:ascii="Arial" w:hAnsi="Arial"/>
          <w:lang w:eastAsia="zh-CN"/>
        </w:rPr>
        <w:t xml:space="preserve">For example, the UE can monitor PDCCH during ON duration with a specific BWP, and during the inactivity timer with another BWP. In the case of the latter, the corresponding BWP can be smaller which consumes less power as a result. Furthermore, in case, cross-slot scheduling is used, the UE can expect to monitor PDCCH in a smaller BWP compared to what is used for PDSCH. </w:t>
      </w:r>
      <w:r w:rsidRPr="00293502">
        <w:rPr>
          <w:rFonts w:ascii="Arial" w:hAnsi="Arial"/>
          <w:lang w:eastAsia="zh-CN"/>
        </w:rPr>
        <w:t xml:space="preserve">Nevertheless, these ideas can be covered by adaptive CORESET/SS configuration or sparse PDCCH monitoring mechanisms, where the UE is configured with several CORESET/SS and BWPs and switching between them is enabled based on operational mode.  </w:t>
      </w:r>
    </w:p>
    <w:p w14:paraId="2ECA2947" w14:textId="77777777" w:rsidR="00716598" w:rsidRDefault="00716598" w:rsidP="00716598">
      <w:pPr>
        <w:jc w:val="both"/>
        <w:rPr>
          <w:lang w:val="en-GB" w:eastAsia="ja-JP"/>
        </w:rPr>
      </w:pPr>
      <w:r w:rsidRPr="008E40F5">
        <w:rPr>
          <w:rFonts w:ascii="Arial" w:hAnsi="Arial"/>
          <w:lang w:eastAsia="zh-CN"/>
        </w:rPr>
        <w:t xml:space="preserve">For CA, activation/deactivation is already supported in NR for reducing UE power consumption. </w:t>
      </w:r>
      <w:r w:rsidRPr="00293502">
        <w:rPr>
          <w:rFonts w:ascii="Arial" w:hAnsi="Arial"/>
          <w:lang w:eastAsia="zh-CN"/>
        </w:rPr>
        <w:t xml:space="preserve">Fast activation/deactivation via L1 can further reduce UE power savings. If </w:t>
      </w:r>
      <w:proofErr w:type="spellStart"/>
      <w:r w:rsidRPr="00293502">
        <w:rPr>
          <w:rFonts w:ascii="Arial" w:hAnsi="Arial"/>
          <w:lang w:eastAsia="zh-CN"/>
        </w:rPr>
        <w:t>gNB</w:t>
      </w:r>
      <w:proofErr w:type="spellEnd"/>
      <w:r w:rsidRPr="00293502">
        <w:rPr>
          <w:rFonts w:ascii="Arial" w:hAnsi="Arial"/>
          <w:lang w:eastAsia="zh-CN"/>
        </w:rPr>
        <w:t xml:space="preserve"> has a lot of data to send </w:t>
      </w:r>
      <w:r w:rsidRPr="00293502">
        <w:rPr>
          <w:rFonts w:ascii="Arial" w:hAnsi="Arial"/>
          <w:lang w:eastAsia="zh-CN"/>
        </w:rPr>
        <w:lastRenderedPageBreak/>
        <w:t xml:space="preserve">to the UE, fast activation/deactivation would allow </w:t>
      </w:r>
      <w:proofErr w:type="spellStart"/>
      <w:r w:rsidRPr="00293502">
        <w:rPr>
          <w:rFonts w:ascii="Arial" w:hAnsi="Arial"/>
          <w:lang w:eastAsia="zh-CN"/>
        </w:rPr>
        <w:t>gNB</w:t>
      </w:r>
      <w:proofErr w:type="spellEnd"/>
      <w:r w:rsidRPr="00293502">
        <w:rPr>
          <w:rFonts w:ascii="Arial" w:hAnsi="Arial"/>
          <w:lang w:eastAsia="zh-CN"/>
        </w:rPr>
        <w:t xml:space="preserve"> to efficiently use of UE’s CA capabilities, and quickly deactivate components carriers to reduce power consumption. However, reduced latency </w:t>
      </w:r>
      <w:proofErr w:type="spellStart"/>
      <w:r w:rsidRPr="00293502">
        <w:rPr>
          <w:rFonts w:ascii="Arial" w:hAnsi="Arial"/>
          <w:lang w:eastAsia="zh-CN"/>
        </w:rPr>
        <w:t>Scell</w:t>
      </w:r>
      <w:proofErr w:type="spellEnd"/>
      <w:r w:rsidRPr="00293502">
        <w:rPr>
          <w:rFonts w:ascii="Arial" w:hAnsi="Arial"/>
          <w:lang w:eastAsia="zh-CN"/>
        </w:rPr>
        <w:t xml:space="preserve"> management (including fast activation/deactivation) and related issues (including, but not only power consumption) </w:t>
      </w:r>
      <w:r>
        <w:rPr>
          <w:rFonts w:ascii="Arial" w:hAnsi="Arial"/>
          <w:lang w:eastAsia="zh-CN"/>
        </w:rPr>
        <w:t>are to be</w:t>
      </w:r>
      <w:r w:rsidRPr="00293502">
        <w:rPr>
          <w:rFonts w:ascii="Arial" w:hAnsi="Arial"/>
          <w:lang w:eastAsia="zh-CN"/>
        </w:rPr>
        <w:t xml:space="preserve"> discussed in the current ongoing WI on MR-DC enhancement. </w:t>
      </w:r>
    </w:p>
    <w:p w14:paraId="1C9E5F6A" w14:textId="77777777" w:rsidR="00716598" w:rsidRDefault="00716598" w:rsidP="00716598">
      <w:pPr>
        <w:pStyle w:val="Heading1"/>
        <w:jc w:val="both"/>
      </w:pPr>
      <w:r>
        <w:t>8</w:t>
      </w:r>
      <w:r>
        <w:tab/>
        <w:t>UE Assistance information</w:t>
      </w:r>
    </w:p>
    <w:p w14:paraId="02BF1817" w14:textId="77777777" w:rsidR="00716598" w:rsidRPr="008E40F5" w:rsidRDefault="00716598" w:rsidP="00716598">
      <w:pPr>
        <w:jc w:val="both"/>
        <w:rPr>
          <w:rFonts w:ascii="Arial" w:hAnsi="Arial" w:cs="Arial"/>
        </w:rPr>
      </w:pPr>
      <w:r w:rsidRPr="008E40F5">
        <w:rPr>
          <w:rFonts w:ascii="Arial" w:hAnsi="Arial" w:cs="Arial"/>
        </w:rPr>
        <w:t xml:space="preserve">In general, UE assistance information can help the NW to choose the right parameters for power savings in the UE. NW can also ask UE for assistance information that might be useful in scheduling and these could be in the form of capability, assistance or feedback. It is important that NW explicitly controls triggering adaptation of UE power consumption characteristics mainly so that unpredictable and untestable UE behavior is avoided. It should be also noted that frequent and unnecessary uplink transmissions from UE in form of assistance can increase overhead and may in fact cause increased UE power consumption. </w:t>
      </w:r>
    </w:p>
    <w:p w14:paraId="780BCEC4" w14:textId="77777777" w:rsidR="00716598" w:rsidRPr="00293502" w:rsidRDefault="00716598" w:rsidP="00716598">
      <w:pPr>
        <w:pStyle w:val="Proposal"/>
      </w:pPr>
      <w:bookmarkStart w:id="87" w:name="_Toc1162340"/>
      <w:r w:rsidRPr="008E40F5">
        <w:t xml:space="preserve">UE assistance information should be infrequent, and preferably through higher layer signaling. </w:t>
      </w:r>
      <w:r w:rsidRPr="00293502">
        <w:t xml:space="preserve">In other cases, such assistance information should be provided only when </w:t>
      </w:r>
      <w:r>
        <w:t>configured</w:t>
      </w:r>
      <w:r w:rsidRPr="00293502">
        <w:t xml:space="preserve"> by the NW.</w:t>
      </w:r>
      <w:bookmarkEnd w:id="87"/>
    </w:p>
    <w:p w14:paraId="6F8DED17" w14:textId="77777777" w:rsidR="00716598" w:rsidRPr="000E2440" w:rsidRDefault="00716598" w:rsidP="00716598">
      <w:pPr>
        <w:pStyle w:val="Proposal"/>
        <w:numPr>
          <w:ilvl w:val="0"/>
          <w:numId w:val="0"/>
        </w:numPr>
        <w:spacing w:line="254" w:lineRule="auto"/>
        <w:ind w:left="1701" w:hanging="1701"/>
      </w:pPr>
    </w:p>
    <w:p w14:paraId="32CD7861" w14:textId="77777777" w:rsidR="00716598" w:rsidRPr="00CE0424" w:rsidRDefault="00716598" w:rsidP="00716598">
      <w:pPr>
        <w:pStyle w:val="Heading1"/>
      </w:pPr>
      <w:r w:rsidRPr="00CE0424">
        <w:t>Conclusion</w:t>
      </w:r>
    </w:p>
    <w:p w14:paraId="0F8FDFCF" w14:textId="77777777" w:rsidR="00716598" w:rsidRPr="00795CB0" w:rsidRDefault="00716598" w:rsidP="00716598">
      <w:pPr>
        <w:pStyle w:val="BodyText"/>
      </w:pPr>
      <w:r w:rsidRPr="00795CB0">
        <w:t xml:space="preserve">In section 2, the following observations and proposals were made: </w:t>
      </w:r>
    </w:p>
    <w:bookmarkStart w:id="88" w:name="_GoBack"/>
    <w:bookmarkEnd w:id="88"/>
    <w:p w14:paraId="0C76897D" w14:textId="4E0404CE" w:rsidR="00C83436" w:rsidRDefault="00716598">
      <w:pPr>
        <w:pStyle w:val="TableofFigures"/>
        <w:tabs>
          <w:tab w:val="right" w:leader="dot" w:pos="9629"/>
        </w:tabs>
        <w:rPr>
          <w:rFonts w:asciiTheme="minorHAnsi" w:eastAsiaTheme="minorEastAsia" w:hAnsiTheme="minorHAnsi"/>
          <w:b w:val="0"/>
          <w:noProof/>
          <w:lang w:eastAsia="en-US"/>
        </w:rPr>
      </w:pPr>
      <w:r>
        <w:rPr>
          <w:b w:val="0"/>
          <w:bCs/>
        </w:rPr>
        <w:fldChar w:fldCharType="begin"/>
      </w:r>
      <w:r>
        <w:rPr>
          <w:b w:val="0"/>
          <w:bCs/>
        </w:rPr>
        <w:instrText xml:space="preserve"> TOC \f O \n \h \z \t "Observation" \c </w:instrText>
      </w:r>
      <w:r>
        <w:rPr>
          <w:b w:val="0"/>
          <w:bCs/>
        </w:rPr>
        <w:fldChar w:fldCharType="separate"/>
      </w:r>
      <w:hyperlink w:anchor="_Toc1162348" w:history="1">
        <w:r w:rsidR="00C83436" w:rsidRPr="00C952B8">
          <w:rPr>
            <w:rStyle w:val="Hyperlink"/>
            <w:noProof/>
            <w:lang w:val="en-GB"/>
          </w:rPr>
          <w:t>Observation 1</w:t>
        </w:r>
        <w:r w:rsidR="00C83436">
          <w:rPr>
            <w:rFonts w:asciiTheme="minorHAnsi" w:eastAsiaTheme="minorEastAsia" w:hAnsiTheme="minorHAnsi"/>
            <w:b w:val="0"/>
            <w:noProof/>
            <w:lang w:eastAsia="en-US"/>
          </w:rPr>
          <w:tab/>
        </w:r>
        <w:r w:rsidR="00C83436" w:rsidRPr="00C952B8">
          <w:rPr>
            <w:rStyle w:val="Hyperlink"/>
            <w:noProof/>
          </w:rPr>
          <w:t>TDRA adaptation with same-slot scheduling and restricted SLIVs increases scheduler restrictions and can lead to throughput loss.</w:t>
        </w:r>
      </w:hyperlink>
    </w:p>
    <w:p w14:paraId="3A854100" w14:textId="2D67E405" w:rsidR="00C83436" w:rsidRDefault="00C83436">
      <w:pPr>
        <w:pStyle w:val="TableofFigures"/>
        <w:tabs>
          <w:tab w:val="right" w:leader="dot" w:pos="9629"/>
        </w:tabs>
        <w:rPr>
          <w:rFonts w:asciiTheme="minorHAnsi" w:eastAsiaTheme="minorEastAsia" w:hAnsiTheme="minorHAnsi"/>
          <w:b w:val="0"/>
          <w:noProof/>
          <w:lang w:eastAsia="en-US"/>
        </w:rPr>
      </w:pPr>
      <w:hyperlink w:anchor="_Toc1162349" w:history="1">
        <w:r w:rsidRPr="00C952B8">
          <w:rPr>
            <w:rStyle w:val="Hyperlink"/>
            <w:noProof/>
            <w:lang w:val="en-GB"/>
          </w:rPr>
          <w:t>Observation 2</w:t>
        </w:r>
        <w:r>
          <w:rPr>
            <w:rFonts w:asciiTheme="minorHAnsi" w:eastAsiaTheme="minorEastAsia" w:hAnsiTheme="minorHAnsi"/>
            <w:b w:val="0"/>
            <w:noProof/>
            <w:lang w:eastAsia="en-US"/>
          </w:rPr>
          <w:tab/>
        </w:r>
        <w:r w:rsidRPr="00C952B8">
          <w:rPr>
            <w:rStyle w:val="Hyperlink"/>
            <w:noProof/>
          </w:rPr>
          <w:t>Multi-slot scheduling does not provide power saving gains since power savings in slots where UE skips PDCCH monitoring are offset by the power consumed for PDSCH reception in those slots.</w:t>
        </w:r>
      </w:hyperlink>
    </w:p>
    <w:p w14:paraId="251B6682" w14:textId="65A7C642" w:rsidR="00C83436" w:rsidRDefault="00C83436">
      <w:pPr>
        <w:pStyle w:val="TableofFigures"/>
        <w:tabs>
          <w:tab w:val="right" w:leader="dot" w:pos="9629"/>
        </w:tabs>
        <w:rPr>
          <w:rFonts w:asciiTheme="minorHAnsi" w:eastAsiaTheme="minorEastAsia" w:hAnsiTheme="minorHAnsi"/>
          <w:b w:val="0"/>
          <w:noProof/>
          <w:lang w:eastAsia="en-US"/>
        </w:rPr>
      </w:pPr>
      <w:hyperlink w:anchor="_Toc1162350" w:history="1">
        <w:r w:rsidRPr="00C952B8">
          <w:rPr>
            <w:rStyle w:val="Hyperlink"/>
            <w:noProof/>
          </w:rPr>
          <w:t>Observation 3</w:t>
        </w:r>
        <w:r>
          <w:rPr>
            <w:rFonts w:asciiTheme="minorHAnsi" w:eastAsiaTheme="minorEastAsia" w:hAnsiTheme="minorHAnsi"/>
            <w:b w:val="0"/>
            <w:noProof/>
            <w:lang w:eastAsia="en-US"/>
          </w:rPr>
          <w:tab/>
        </w:r>
        <w:r w:rsidRPr="00C952B8">
          <w:rPr>
            <w:rStyle w:val="Hyperlink"/>
            <w:noProof/>
          </w:rPr>
          <w:t>Specifying additional reference signals increases overhead and negatively impacts NW energy efficiency.</w:t>
        </w:r>
      </w:hyperlink>
    </w:p>
    <w:p w14:paraId="273843F9" w14:textId="3E30D6E3" w:rsidR="00C83436" w:rsidRDefault="00C83436">
      <w:pPr>
        <w:pStyle w:val="TableofFigures"/>
        <w:tabs>
          <w:tab w:val="right" w:leader="dot" w:pos="9629"/>
        </w:tabs>
        <w:rPr>
          <w:rFonts w:asciiTheme="minorHAnsi" w:eastAsiaTheme="minorEastAsia" w:hAnsiTheme="minorHAnsi"/>
          <w:b w:val="0"/>
          <w:noProof/>
          <w:lang w:eastAsia="en-US"/>
        </w:rPr>
      </w:pPr>
      <w:hyperlink w:anchor="_Toc1162351" w:history="1">
        <w:r w:rsidRPr="00C952B8">
          <w:rPr>
            <w:rStyle w:val="Hyperlink"/>
            <w:noProof/>
          </w:rPr>
          <w:t>Observation 4</w:t>
        </w:r>
        <w:r>
          <w:rPr>
            <w:rFonts w:asciiTheme="minorHAnsi" w:eastAsiaTheme="minorEastAsia" w:hAnsiTheme="minorHAnsi"/>
            <w:b w:val="0"/>
            <w:noProof/>
            <w:lang w:eastAsia="en-US"/>
          </w:rPr>
          <w:tab/>
        </w:r>
        <w:r w:rsidRPr="00C952B8">
          <w:rPr>
            <w:rStyle w:val="Hyperlink"/>
            <w:noProof/>
          </w:rPr>
          <w:t>For channel tracking before onset of On duration in CDRX, existing reference signals (SSB and/or TRS) defined in Rel-15 are already available.</w:t>
        </w:r>
      </w:hyperlink>
    </w:p>
    <w:p w14:paraId="34946A85" w14:textId="7A91C337" w:rsidR="00C83436" w:rsidRDefault="00C83436">
      <w:pPr>
        <w:pStyle w:val="TableofFigures"/>
        <w:tabs>
          <w:tab w:val="right" w:leader="dot" w:pos="9629"/>
        </w:tabs>
        <w:rPr>
          <w:rFonts w:asciiTheme="minorHAnsi" w:eastAsiaTheme="minorEastAsia" w:hAnsiTheme="minorHAnsi"/>
          <w:b w:val="0"/>
          <w:noProof/>
          <w:lang w:eastAsia="en-US"/>
        </w:rPr>
      </w:pPr>
      <w:hyperlink w:anchor="_Toc1162352" w:history="1">
        <w:r w:rsidRPr="00C952B8">
          <w:rPr>
            <w:rStyle w:val="Hyperlink"/>
            <w:noProof/>
          </w:rPr>
          <w:t>Observation 5</w:t>
        </w:r>
        <w:r>
          <w:rPr>
            <w:rFonts w:asciiTheme="minorHAnsi" w:eastAsiaTheme="minorEastAsia" w:hAnsiTheme="minorHAnsi"/>
            <w:b w:val="0"/>
            <w:noProof/>
            <w:lang w:eastAsia="en-US"/>
          </w:rPr>
          <w:tab/>
        </w:r>
        <w:r w:rsidRPr="00C952B8">
          <w:rPr>
            <w:rStyle w:val="Hyperlink"/>
            <w:noProof/>
          </w:rPr>
          <w:t>Detection performance of PDCCH decoding of DCI-WUS is dependent upon the effective code-rate, determined by information bits in the payload and AL.</w:t>
        </w:r>
      </w:hyperlink>
    </w:p>
    <w:p w14:paraId="3CC73999" w14:textId="6D2997AF" w:rsidR="00C83436" w:rsidRDefault="00C83436">
      <w:pPr>
        <w:pStyle w:val="TableofFigures"/>
        <w:tabs>
          <w:tab w:val="right" w:leader="dot" w:pos="9629"/>
        </w:tabs>
        <w:rPr>
          <w:rFonts w:asciiTheme="minorHAnsi" w:eastAsiaTheme="minorEastAsia" w:hAnsiTheme="minorHAnsi"/>
          <w:b w:val="0"/>
          <w:noProof/>
          <w:lang w:eastAsia="en-US"/>
        </w:rPr>
      </w:pPr>
      <w:hyperlink w:anchor="_Toc1162353" w:history="1">
        <w:r w:rsidRPr="00C952B8">
          <w:rPr>
            <w:rStyle w:val="Hyperlink"/>
            <w:noProof/>
          </w:rPr>
          <w:t>Observation 6</w:t>
        </w:r>
        <w:r>
          <w:rPr>
            <w:rFonts w:asciiTheme="minorHAnsi" w:eastAsiaTheme="minorEastAsia" w:hAnsiTheme="minorHAnsi"/>
            <w:b w:val="0"/>
            <w:noProof/>
            <w:lang w:eastAsia="en-US"/>
          </w:rPr>
          <w:tab/>
        </w:r>
        <w:r w:rsidRPr="00C952B8">
          <w:rPr>
            <w:rStyle w:val="Hyperlink"/>
            <w:noProof/>
          </w:rPr>
          <w:t>DCI with smaller number of information bits (e.g. DCI 0_0/1_0 with larger number of padding bits) provides better detection performance compared to DCI with larger number of information bits (e.g. DCI 0_0/1_0 with smaller/no number of padding bits).</w:t>
        </w:r>
      </w:hyperlink>
    </w:p>
    <w:p w14:paraId="41F96EC9" w14:textId="5C061F01" w:rsidR="00C83436" w:rsidRDefault="00C83436">
      <w:pPr>
        <w:pStyle w:val="TableofFigures"/>
        <w:tabs>
          <w:tab w:val="right" w:leader="dot" w:pos="9629"/>
        </w:tabs>
        <w:rPr>
          <w:rFonts w:asciiTheme="minorHAnsi" w:eastAsiaTheme="minorEastAsia" w:hAnsiTheme="minorHAnsi"/>
          <w:b w:val="0"/>
          <w:noProof/>
          <w:lang w:eastAsia="en-US"/>
        </w:rPr>
      </w:pPr>
      <w:hyperlink w:anchor="_Toc1162354" w:history="1">
        <w:r w:rsidRPr="00C952B8">
          <w:rPr>
            <w:rStyle w:val="Hyperlink"/>
            <w:noProof/>
          </w:rPr>
          <w:t>Observation 7</w:t>
        </w:r>
        <w:r>
          <w:rPr>
            <w:rFonts w:asciiTheme="minorHAnsi" w:eastAsiaTheme="minorEastAsia" w:hAnsiTheme="minorHAnsi"/>
            <w:b w:val="0"/>
            <w:noProof/>
            <w:lang w:eastAsia="en-US"/>
          </w:rPr>
          <w:tab/>
        </w:r>
        <w:r w:rsidRPr="00C952B8">
          <w:rPr>
            <w:rStyle w:val="Hyperlink"/>
            <w:noProof/>
          </w:rPr>
          <w:t>Performance of DCI-WUS can be further improved by trading off false-alarm vs missed detection in PDCCH decoding.</w:t>
        </w:r>
      </w:hyperlink>
    </w:p>
    <w:p w14:paraId="191BE472" w14:textId="459B5B40" w:rsidR="00C83436" w:rsidRDefault="00C83436">
      <w:pPr>
        <w:pStyle w:val="TableofFigures"/>
        <w:tabs>
          <w:tab w:val="right" w:leader="dot" w:pos="9629"/>
        </w:tabs>
        <w:rPr>
          <w:rFonts w:asciiTheme="minorHAnsi" w:eastAsiaTheme="minorEastAsia" w:hAnsiTheme="minorHAnsi"/>
          <w:b w:val="0"/>
          <w:noProof/>
          <w:lang w:eastAsia="en-US"/>
        </w:rPr>
      </w:pPr>
      <w:hyperlink w:anchor="_Toc1162355" w:history="1">
        <w:r w:rsidRPr="00C952B8">
          <w:rPr>
            <w:rStyle w:val="Hyperlink"/>
            <w:noProof/>
          </w:rPr>
          <w:t>Observation 8</w:t>
        </w:r>
        <w:r>
          <w:rPr>
            <w:rFonts w:asciiTheme="minorHAnsi" w:eastAsiaTheme="minorEastAsia" w:hAnsiTheme="minorHAnsi"/>
            <w:b w:val="0"/>
            <w:noProof/>
            <w:lang w:eastAsia="en-US"/>
          </w:rPr>
          <w:tab/>
        </w:r>
        <w:r w:rsidRPr="00C952B8">
          <w:rPr>
            <w:rStyle w:val="Hyperlink"/>
            <w:noProof/>
          </w:rPr>
          <w:t>Existing Rel-15 DRX MAC Command CE can be utilized for sending UE to sleep to reduce power consumption due to large Inactivity timer setting, etc.</w:t>
        </w:r>
      </w:hyperlink>
    </w:p>
    <w:p w14:paraId="454DCD98" w14:textId="2852D307" w:rsidR="00716598" w:rsidRPr="00446318" w:rsidRDefault="00716598" w:rsidP="00716598">
      <w:pPr>
        <w:pStyle w:val="TableofFigures"/>
        <w:tabs>
          <w:tab w:val="right" w:leader="dot" w:pos="9629"/>
        </w:tabs>
        <w:rPr>
          <w:b w:val="0"/>
          <w:bCs/>
        </w:rPr>
      </w:pPr>
      <w:r>
        <w:rPr>
          <w:b w:val="0"/>
          <w:bCs/>
        </w:rPr>
        <w:fldChar w:fldCharType="end"/>
      </w:r>
    </w:p>
    <w:p w14:paraId="6048DDC2" w14:textId="55F06B91" w:rsidR="00DC5C4A" w:rsidRDefault="00716598">
      <w:pPr>
        <w:pStyle w:val="TableofFigures"/>
        <w:tabs>
          <w:tab w:val="right" w:leader="dot" w:pos="9629"/>
        </w:tabs>
        <w:rPr>
          <w:rFonts w:asciiTheme="minorHAnsi" w:eastAsiaTheme="minorEastAsia" w:hAnsiTheme="minorHAnsi"/>
          <w:b w:val="0"/>
          <w:noProof/>
          <w:lang w:eastAsia="en-US"/>
        </w:rPr>
      </w:pPr>
      <w:r>
        <w:rPr>
          <w:b w:val="0"/>
          <w:bCs/>
        </w:rPr>
        <w:fldChar w:fldCharType="begin"/>
      </w:r>
      <w:r>
        <w:rPr>
          <w:b w:val="0"/>
          <w:bCs/>
        </w:rPr>
        <w:instrText xml:space="preserve"> TOC \n \h \z \t "Proposal" \c </w:instrText>
      </w:r>
      <w:r>
        <w:rPr>
          <w:b w:val="0"/>
          <w:bCs/>
        </w:rPr>
        <w:fldChar w:fldCharType="separate"/>
      </w:r>
      <w:hyperlink w:anchor="_Toc1162335" w:history="1">
        <w:r w:rsidR="00DC5C4A" w:rsidRPr="00C42275">
          <w:rPr>
            <w:rStyle w:val="Hyperlink"/>
            <w:noProof/>
          </w:rPr>
          <w:t>Proposal 1</w:t>
        </w:r>
        <w:r w:rsidR="00DC5C4A">
          <w:rPr>
            <w:rFonts w:asciiTheme="minorHAnsi" w:eastAsiaTheme="minorEastAsia" w:hAnsiTheme="minorHAnsi"/>
            <w:b w:val="0"/>
            <w:noProof/>
            <w:lang w:eastAsia="en-US"/>
          </w:rPr>
          <w:tab/>
        </w:r>
        <w:r w:rsidR="00DC5C4A" w:rsidRPr="00C42275">
          <w:rPr>
            <w:rStyle w:val="Hyperlink"/>
            <w:noProof/>
          </w:rPr>
          <w:t>Layer-1 based switching between cross and same-slot scheduling should be supported.</w:t>
        </w:r>
      </w:hyperlink>
    </w:p>
    <w:p w14:paraId="66703C35" w14:textId="698A7CAC" w:rsidR="00DC5C4A" w:rsidRDefault="00DC5C4A">
      <w:pPr>
        <w:pStyle w:val="TableofFigures"/>
        <w:tabs>
          <w:tab w:val="right" w:leader="dot" w:pos="9629"/>
        </w:tabs>
        <w:rPr>
          <w:rFonts w:asciiTheme="minorHAnsi" w:eastAsiaTheme="minorEastAsia" w:hAnsiTheme="minorHAnsi"/>
          <w:b w:val="0"/>
          <w:noProof/>
          <w:lang w:eastAsia="en-US"/>
        </w:rPr>
      </w:pPr>
      <w:hyperlink w:anchor="_Toc1162336" w:history="1">
        <w:r w:rsidRPr="00C42275">
          <w:rPr>
            <w:rStyle w:val="Hyperlink"/>
            <w:noProof/>
          </w:rPr>
          <w:t>Proposal 2</w:t>
        </w:r>
        <w:r>
          <w:rPr>
            <w:rFonts w:asciiTheme="minorHAnsi" w:eastAsiaTheme="minorEastAsia" w:hAnsiTheme="minorHAnsi"/>
            <w:b w:val="0"/>
            <w:noProof/>
            <w:lang w:eastAsia="en-US"/>
          </w:rPr>
          <w:tab/>
        </w:r>
        <w:r w:rsidRPr="00C42275">
          <w:rPr>
            <w:rStyle w:val="Hyperlink"/>
            <w:noProof/>
          </w:rPr>
          <w:t>MAC-based adaptation between different DRX configurations should be discussed by RAN2.</w:t>
        </w:r>
      </w:hyperlink>
    </w:p>
    <w:p w14:paraId="7AC2AA32" w14:textId="53E0B58C" w:rsidR="00DC5C4A" w:rsidRDefault="00DC5C4A">
      <w:pPr>
        <w:pStyle w:val="TableofFigures"/>
        <w:tabs>
          <w:tab w:val="right" w:leader="dot" w:pos="9629"/>
        </w:tabs>
        <w:rPr>
          <w:rFonts w:asciiTheme="minorHAnsi" w:eastAsiaTheme="minorEastAsia" w:hAnsiTheme="minorHAnsi"/>
          <w:b w:val="0"/>
          <w:noProof/>
          <w:lang w:eastAsia="en-US"/>
        </w:rPr>
      </w:pPr>
      <w:hyperlink w:anchor="_Toc1162337" w:history="1">
        <w:r w:rsidRPr="00C42275">
          <w:rPr>
            <w:rStyle w:val="Hyperlink"/>
            <w:noProof/>
          </w:rPr>
          <w:t>Proposal 3</w:t>
        </w:r>
        <w:r>
          <w:rPr>
            <w:rFonts w:asciiTheme="minorHAnsi" w:eastAsiaTheme="minorEastAsia" w:hAnsiTheme="minorHAnsi"/>
            <w:b w:val="0"/>
            <w:noProof/>
            <w:lang w:eastAsia="en-US"/>
          </w:rPr>
          <w:tab/>
        </w:r>
        <w:r w:rsidRPr="00C42275">
          <w:rPr>
            <w:rStyle w:val="Hyperlink"/>
            <w:noProof/>
          </w:rPr>
          <w:t>Wakeup signal is supported as a DL power saving signal and/or channel.</w:t>
        </w:r>
      </w:hyperlink>
    </w:p>
    <w:p w14:paraId="1908446A" w14:textId="489F89AA" w:rsidR="00DC5C4A" w:rsidRDefault="00DC5C4A">
      <w:pPr>
        <w:pStyle w:val="TableofFigures"/>
        <w:tabs>
          <w:tab w:val="right" w:leader="dot" w:pos="9629"/>
        </w:tabs>
        <w:rPr>
          <w:rFonts w:asciiTheme="minorHAnsi" w:eastAsiaTheme="minorEastAsia" w:hAnsiTheme="minorHAnsi"/>
          <w:b w:val="0"/>
          <w:noProof/>
          <w:lang w:eastAsia="en-US"/>
        </w:rPr>
      </w:pPr>
      <w:hyperlink w:anchor="_Toc1162338" w:history="1">
        <w:r w:rsidRPr="00C42275">
          <w:rPr>
            <w:rStyle w:val="Hyperlink"/>
            <w:noProof/>
          </w:rPr>
          <w:t>Proposal 4</w:t>
        </w:r>
        <w:r>
          <w:rPr>
            <w:rFonts w:asciiTheme="minorHAnsi" w:eastAsiaTheme="minorEastAsia" w:hAnsiTheme="minorHAnsi"/>
            <w:b w:val="0"/>
            <w:noProof/>
            <w:lang w:eastAsia="en-US"/>
          </w:rPr>
          <w:tab/>
        </w:r>
        <w:r w:rsidRPr="00C42275">
          <w:rPr>
            <w:rStyle w:val="Hyperlink"/>
            <w:noProof/>
          </w:rPr>
          <w:t>Wake-up signal (WUS) based on PDCCH is supported as DL power saving signal and/or channel . WUS design should allow low power receiver (e.g. correlation-based) and consider aspects including misdetection, false alarm rate, synchronization requirements, latency and coexistence with other NR channels and signals.</w:t>
        </w:r>
      </w:hyperlink>
    </w:p>
    <w:p w14:paraId="6D3560E9" w14:textId="2A345500" w:rsidR="00DC5C4A" w:rsidRDefault="00DC5C4A">
      <w:pPr>
        <w:pStyle w:val="TableofFigures"/>
        <w:tabs>
          <w:tab w:val="right" w:leader="dot" w:pos="9629"/>
        </w:tabs>
        <w:rPr>
          <w:rFonts w:asciiTheme="minorHAnsi" w:eastAsiaTheme="minorEastAsia" w:hAnsiTheme="minorHAnsi"/>
          <w:b w:val="0"/>
          <w:noProof/>
          <w:lang w:eastAsia="en-US"/>
        </w:rPr>
      </w:pPr>
      <w:hyperlink w:anchor="_Toc1162339" w:history="1">
        <w:r w:rsidRPr="00C42275">
          <w:rPr>
            <w:rStyle w:val="Hyperlink"/>
            <w:noProof/>
          </w:rPr>
          <w:t>Proposal 5</w:t>
        </w:r>
        <w:r>
          <w:rPr>
            <w:rFonts w:asciiTheme="minorHAnsi" w:eastAsiaTheme="minorEastAsia" w:hAnsiTheme="minorHAnsi"/>
            <w:b w:val="0"/>
            <w:noProof/>
            <w:lang w:eastAsia="en-US"/>
          </w:rPr>
          <w:tab/>
        </w:r>
        <w:r w:rsidRPr="00C42275">
          <w:rPr>
            <w:rStyle w:val="Hyperlink"/>
            <w:noProof/>
          </w:rPr>
          <w:t>DCI based mechanism facilitating reduced PDCCH monitoring/GTS should be supported. Such schemes should complement the Rel-15 MAC Command CE-based mechanism.</w:t>
        </w:r>
      </w:hyperlink>
    </w:p>
    <w:p w14:paraId="33D3B2A5" w14:textId="06252FF5" w:rsidR="00DC5C4A" w:rsidRDefault="00DC5C4A">
      <w:pPr>
        <w:pStyle w:val="TableofFigures"/>
        <w:tabs>
          <w:tab w:val="right" w:leader="dot" w:pos="9629"/>
        </w:tabs>
        <w:rPr>
          <w:rFonts w:asciiTheme="minorHAnsi" w:eastAsiaTheme="minorEastAsia" w:hAnsiTheme="minorHAnsi"/>
          <w:b w:val="0"/>
          <w:noProof/>
          <w:lang w:eastAsia="en-US"/>
        </w:rPr>
      </w:pPr>
      <w:hyperlink w:anchor="_Toc1162340" w:history="1">
        <w:r w:rsidRPr="00C42275">
          <w:rPr>
            <w:rStyle w:val="Hyperlink"/>
            <w:noProof/>
          </w:rPr>
          <w:t>Proposal 6</w:t>
        </w:r>
        <w:r>
          <w:rPr>
            <w:rFonts w:asciiTheme="minorHAnsi" w:eastAsiaTheme="minorEastAsia" w:hAnsiTheme="minorHAnsi"/>
            <w:b w:val="0"/>
            <w:noProof/>
            <w:lang w:eastAsia="en-US"/>
          </w:rPr>
          <w:tab/>
        </w:r>
        <w:r w:rsidRPr="00C42275">
          <w:rPr>
            <w:rStyle w:val="Hyperlink"/>
            <w:noProof/>
          </w:rPr>
          <w:t>UE assistance information should be infrequent, and preferably through higher layer signaling. In other cases, such assistance information should be provided only when configured by the NW.</w:t>
        </w:r>
      </w:hyperlink>
    </w:p>
    <w:p w14:paraId="27AA7546" w14:textId="504ACA8A" w:rsidR="00716598" w:rsidRPr="00832F73" w:rsidRDefault="00716598" w:rsidP="00716598">
      <w:pPr>
        <w:pStyle w:val="BodyText"/>
        <w:rPr>
          <w:b/>
          <w:bCs/>
        </w:rPr>
      </w:pPr>
      <w:r>
        <w:rPr>
          <w:b/>
          <w:bCs/>
        </w:rPr>
        <w:fldChar w:fldCharType="end"/>
      </w:r>
    </w:p>
    <w:p w14:paraId="5161CC8B" w14:textId="77777777" w:rsidR="00716598" w:rsidRPr="00CE0424" w:rsidRDefault="00716598" w:rsidP="00716598">
      <w:pPr>
        <w:pStyle w:val="Heading1"/>
      </w:pPr>
      <w:bookmarkStart w:id="89" w:name="_In-sequence_SDU_delivery"/>
      <w:bookmarkEnd w:id="89"/>
      <w:r w:rsidRPr="00CE0424">
        <w:t>References</w:t>
      </w:r>
    </w:p>
    <w:p w14:paraId="2FF0C4FB" w14:textId="77777777" w:rsidR="00716598" w:rsidRPr="00A35A2C" w:rsidRDefault="00716598" w:rsidP="00716598">
      <w:pPr>
        <w:pStyle w:val="references"/>
        <w:spacing w:line="240" w:lineRule="auto"/>
        <w:rPr>
          <w:rFonts w:ascii="Arial" w:hAnsi="Arial" w:cs="Arial"/>
          <w:sz w:val="22"/>
          <w:szCs w:val="22"/>
        </w:rPr>
      </w:pPr>
      <w:bookmarkStart w:id="90" w:name="_Ref523917687"/>
      <w:r w:rsidRPr="00A35A2C">
        <w:rPr>
          <w:rFonts w:ascii="Arial" w:hAnsi="Arial" w:cs="Arial"/>
          <w:sz w:val="22"/>
          <w:szCs w:val="22"/>
        </w:rPr>
        <w:t>RP-181463, “New SID: Study on UE Power Saving in NR”, CATT, CMCC, vivo, CATR, Qualcomm, MediaTek, 3GPP TSG RAN Meeting #80</w:t>
      </w:r>
      <w:bookmarkEnd w:id="90"/>
    </w:p>
    <w:p w14:paraId="42C19020" w14:textId="77777777" w:rsidR="00716598" w:rsidRPr="005669B0" w:rsidRDefault="00716598" w:rsidP="00716598">
      <w:pPr>
        <w:pStyle w:val="references"/>
        <w:spacing w:line="240" w:lineRule="auto"/>
        <w:rPr>
          <w:rFonts w:ascii="Arial" w:hAnsi="Arial" w:cs="Arial"/>
          <w:sz w:val="22"/>
          <w:szCs w:val="22"/>
        </w:rPr>
      </w:pPr>
      <w:bookmarkStart w:id="91" w:name="_Ref521687755"/>
      <w:bookmarkStart w:id="92" w:name="_Ref523917703"/>
      <w:bookmarkStart w:id="93" w:name="_Ref521689248"/>
      <w:bookmarkStart w:id="94" w:name="_Ref513803471"/>
      <w:r w:rsidRPr="00A35A2C">
        <w:rPr>
          <w:rFonts w:ascii="Arial" w:hAnsi="Arial" w:cs="Arial"/>
          <w:sz w:val="22"/>
          <w:szCs w:val="22"/>
        </w:rPr>
        <w:t>RP-181763, “Views on the Progress of UE Power Saving for NR”, CATT, 3GPP TSG RAN Meeting #8</w:t>
      </w:r>
      <w:bookmarkEnd w:id="91"/>
      <w:r w:rsidRPr="00A35A2C">
        <w:rPr>
          <w:rFonts w:ascii="Arial" w:hAnsi="Arial" w:cs="Arial"/>
          <w:sz w:val="22"/>
          <w:szCs w:val="22"/>
        </w:rPr>
        <w:t>1</w:t>
      </w:r>
      <w:bookmarkEnd w:id="92"/>
    </w:p>
    <w:p w14:paraId="16C2E548" w14:textId="77777777" w:rsidR="00716598" w:rsidRPr="00795CB0" w:rsidRDefault="00716598" w:rsidP="00716598">
      <w:pPr>
        <w:pStyle w:val="references"/>
      </w:pPr>
      <w:r w:rsidRPr="005669B0">
        <w:rPr>
          <w:rFonts w:ascii="Arial" w:hAnsi="Arial" w:cs="Arial"/>
          <w:sz w:val="22"/>
          <w:szCs w:val="22"/>
        </w:rPr>
        <w:t>R1-1902934</w:t>
      </w:r>
      <w:r>
        <w:rPr>
          <w:rFonts w:ascii="Arial" w:hAnsi="Arial" w:cs="Arial"/>
          <w:sz w:val="22"/>
          <w:szCs w:val="22"/>
        </w:rPr>
        <w:t>, “</w:t>
      </w:r>
      <w:r w:rsidRPr="005669B0">
        <w:rPr>
          <w:rFonts w:ascii="Arial" w:hAnsi="Arial" w:cs="Arial"/>
          <w:sz w:val="22"/>
          <w:szCs w:val="22"/>
        </w:rPr>
        <w:t>Evaluations and modeling of UE power consumption</w:t>
      </w:r>
      <w:r>
        <w:rPr>
          <w:rFonts w:ascii="Arial" w:hAnsi="Arial" w:cs="Arial"/>
          <w:sz w:val="22"/>
          <w:szCs w:val="22"/>
        </w:rPr>
        <w:t xml:space="preserve">”, </w:t>
      </w:r>
      <w:r w:rsidRPr="005669B0">
        <w:rPr>
          <w:rFonts w:ascii="Arial" w:hAnsi="Arial" w:cs="Arial"/>
          <w:sz w:val="22"/>
          <w:szCs w:val="22"/>
        </w:rPr>
        <w:t>Ericsson</w:t>
      </w:r>
      <w:r>
        <w:rPr>
          <w:rFonts w:ascii="Arial" w:hAnsi="Arial" w:cs="Arial"/>
          <w:sz w:val="22"/>
          <w:szCs w:val="22"/>
        </w:rPr>
        <w:t>, 3GPP RAN1 96, Athens 2019</w:t>
      </w:r>
      <w:bookmarkEnd w:id="93"/>
      <w:bookmarkEnd w:id="94"/>
    </w:p>
    <w:p w14:paraId="4DE2C3D6" w14:textId="77777777" w:rsidR="00716598" w:rsidRDefault="00716598" w:rsidP="00716598">
      <w:pPr>
        <w:pStyle w:val="BodyText"/>
        <w:rPr>
          <w:lang w:val="en-GB"/>
        </w:rPr>
      </w:pPr>
    </w:p>
    <w:p w14:paraId="0F7FC9ED" w14:textId="77777777" w:rsidR="00716598" w:rsidRDefault="00716598" w:rsidP="00716598">
      <w:pPr>
        <w:pStyle w:val="BodyText"/>
        <w:rPr>
          <w:lang w:val="en-GB"/>
        </w:rPr>
      </w:pPr>
    </w:p>
    <w:p w14:paraId="34725321" w14:textId="77777777" w:rsidR="00716598" w:rsidRDefault="00716598" w:rsidP="00716598">
      <w:pPr>
        <w:pStyle w:val="BodyText"/>
        <w:rPr>
          <w:lang w:val="en-GB"/>
        </w:rPr>
      </w:pPr>
    </w:p>
    <w:p w14:paraId="20EBDE26" w14:textId="77777777" w:rsidR="00716598" w:rsidRDefault="00716598" w:rsidP="00716598">
      <w:pPr>
        <w:pStyle w:val="BodyText"/>
        <w:rPr>
          <w:lang w:val="en-GB"/>
        </w:rPr>
      </w:pPr>
    </w:p>
    <w:p w14:paraId="13B62462" w14:textId="77777777" w:rsidR="00716598" w:rsidRDefault="00716598" w:rsidP="00716598">
      <w:pPr>
        <w:pStyle w:val="BodyText"/>
        <w:rPr>
          <w:lang w:val="en-GB"/>
        </w:rPr>
      </w:pPr>
    </w:p>
    <w:p w14:paraId="4D9E8F81" w14:textId="77777777" w:rsidR="00716598" w:rsidRDefault="00716598" w:rsidP="00716598">
      <w:pPr>
        <w:pStyle w:val="BodyText"/>
        <w:rPr>
          <w:lang w:val="en-GB"/>
        </w:rPr>
      </w:pPr>
    </w:p>
    <w:p w14:paraId="56F421C7" w14:textId="77777777" w:rsidR="00716598" w:rsidRDefault="00716598" w:rsidP="00716598">
      <w:pPr>
        <w:pStyle w:val="BodyText"/>
        <w:rPr>
          <w:lang w:val="en-GB"/>
        </w:rPr>
      </w:pPr>
    </w:p>
    <w:p w14:paraId="6EC0A7EE" w14:textId="77777777" w:rsidR="00716598" w:rsidRDefault="00716598" w:rsidP="00716598">
      <w:pPr>
        <w:pStyle w:val="BodyText"/>
        <w:rPr>
          <w:lang w:val="en-GB"/>
        </w:rPr>
      </w:pPr>
    </w:p>
    <w:p w14:paraId="6FF75117" w14:textId="77777777" w:rsidR="00716598" w:rsidRDefault="00716598" w:rsidP="00716598">
      <w:pPr>
        <w:pStyle w:val="BodyText"/>
        <w:rPr>
          <w:lang w:val="en-GB"/>
        </w:rPr>
      </w:pPr>
    </w:p>
    <w:p w14:paraId="7DEED477" w14:textId="77777777" w:rsidR="00716598" w:rsidRDefault="00716598" w:rsidP="00716598">
      <w:pPr>
        <w:pStyle w:val="BodyText"/>
        <w:rPr>
          <w:lang w:val="en-GB"/>
        </w:rPr>
      </w:pPr>
    </w:p>
    <w:p w14:paraId="4E59D5D6" w14:textId="77777777" w:rsidR="00716598" w:rsidRDefault="00716598" w:rsidP="00716598">
      <w:pPr>
        <w:pStyle w:val="BodyText"/>
        <w:rPr>
          <w:lang w:val="en-GB"/>
        </w:rPr>
      </w:pPr>
    </w:p>
    <w:p w14:paraId="676D4F47" w14:textId="6B5D6DA9" w:rsidR="00716598" w:rsidRDefault="00716598" w:rsidP="00716598">
      <w:pPr>
        <w:pStyle w:val="BodyText"/>
        <w:rPr>
          <w:lang w:val="en-GB"/>
        </w:rPr>
      </w:pPr>
    </w:p>
    <w:p w14:paraId="7A44CD33" w14:textId="3C811171" w:rsidR="009B2D63" w:rsidRDefault="009B2D63" w:rsidP="00716598">
      <w:pPr>
        <w:pStyle w:val="BodyText"/>
        <w:rPr>
          <w:lang w:val="en-GB"/>
        </w:rPr>
      </w:pPr>
    </w:p>
    <w:p w14:paraId="3E86F5E4" w14:textId="5A93FD80" w:rsidR="009B2D63" w:rsidRDefault="009B2D63" w:rsidP="00716598">
      <w:pPr>
        <w:pStyle w:val="BodyText"/>
        <w:rPr>
          <w:lang w:val="en-GB"/>
        </w:rPr>
      </w:pPr>
    </w:p>
    <w:p w14:paraId="7A70F0E3" w14:textId="77777777" w:rsidR="009B2D63" w:rsidRDefault="009B2D63" w:rsidP="00716598">
      <w:pPr>
        <w:pStyle w:val="BodyText"/>
        <w:rPr>
          <w:lang w:val="en-GB"/>
        </w:rPr>
      </w:pPr>
    </w:p>
    <w:p w14:paraId="67873D25" w14:textId="62D72043" w:rsidR="00716598" w:rsidRDefault="00716598" w:rsidP="00716598">
      <w:pPr>
        <w:pStyle w:val="BodyText"/>
        <w:rPr>
          <w:lang w:val="en-GB"/>
        </w:rPr>
      </w:pPr>
    </w:p>
    <w:p w14:paraId="71FD9E07" w14:textId="29A45DC4" w:rsidR="009518AD" w:rsidRDefault="009518AD" w:rsidP="00716598">
      <w:pPr>
        <w:pStyle w:val="BodyText"/>
        <w:rPr>
          <w:lang w:val="en-GB"/>
        </w:rPr>
      </w:pPr>
    </w:p>
    <w:p w14:paraId="21ADFF59" w14:textId="77777777" w:rsidR="009518AD" w:rsidRDefault="009518AD" w:rsidP="00716598">
      <w:pPr>
        <w:pStyle w:val="BodyText"/>
        <w:rPr>
          <w:lang w:val="en-GB"/>
        </w:rPr>
      </w:pPr>
    </w:p>
    <w:p w14:paraId="4A4192ED" w14:textId="77777777" w:rsidR="00716598" w:rsidRPr="00E46576" w:rsidRDefault="00716598" w:rsidP="00716598">
      <w:pPr>
        <w:pStyle w:val="BodyText"/>
        <w:jc w:val="center"/>
        <w:rPr>
          <w:b/>
          <w:lang w:val="en-GB"/>
        </w:rPr>
      </w:pPr>
      <w:r w:rsidRPr="00E46576">
        <w:rPr>
          <w:b/>
          <w:lang w:val="en-GB"/>
        </w:rPr>
        <w:lastRenderedPageBreak/>
        <w:t>Annex A (</w:t>
      </w:r>
      <w:r>
        <w:rPr>
          <w:b/>
          <w:lang w:val="en-GB"/>
        </w:rPr>
        <w:t xml:space="preserve">Additional </w:t>
      </w:r>
      <w:r w:rsidRPr="00E46576">
        <w:rPr>
          <w:b/>
          <w:lang w:val="en-GB"/>
        </w:rPr>
        <w:t>Evaluations for PDCCH decoding-based WUS)</w:t>
      </w:r>
    </w:p>
    <w:p w14:paraId="50AE69CF" w14:textId="77777777" w:rsidR="00716598" w:rsidRPr="00281D35" w:rsidRDefault="00716598" w:rsidP="00716598">
      <w:pPr>
        <w:keepNext/>
      </w:pPr>
      <w:r w:rsidRPr="00A11BF6">
        <w:rPr>
          <w:noProof/>
        </w:rPr>
        <w:drawing>
          <wp:inline distT="0" distB="0" distL="0" distR="0" wp14:anchorId="01EBE261" wp14:editId="51585EBB">
            <wp:extent cx="6348037" cy="36093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60994" cy="3616707"/>
                    </a:xfrm>
                    <a:prstGeom prst="rect">
                      <a:avLst/>
                    </a:prstGeom>
                    <a:noFill/>
                    <a:ln>
                      <a:noFill/>
                    </a:ln>
                  </pic:spPr>
                </pic:pic>
              </a:graphicData>
            </a:graphic>
          </wp:inline>
        </w:drawing>
      </w:r>
      <w:r w:rsidRPr="00281D35" w:rsidDel="000C273F">
        <w:t xml:space="preserve"> </w:t>
      </w:r>
    </w:p>
    <w:p w14:paraId="4E1E10A0" w14:textId="77777777" w:rsidR="00716598" w:rsidRDefault="00716598" w:rsidP="00716598">
      <w:pPr>
        <w:pStyle w:val="Caption"/>
        <w:rPr>
          <w:lang w:eastAsia="en-US"/>
        </w:rPr>
      </w:pPr>
      <w:r w:rsidRPr="00281D35">
        <w:t xml:space="preserve">Figure </w:t>
      </w:r>
      <w:r>
        <w:rPr>
          <w:noProof/>
        </w:rPr>
        <w:fldChar w:fldCharType="begin"/>
      </w:r>
      <w:r w:rsidRPr="00281D35">
        <w:rPr>
          <w:noProof/>
        </w:rPr>
        <w:instrText xml:space="preserve"> SEQ Figure \* ARABIC </w:instrText>
      </w:r>
      <w:r>
        <w:rPr>
          <w:noProof/>
        </w:rPr>
        <w:fldChar w:fldCharType="separate"/>
      </w:r>
      <w:r w:rsidRPr="00281D35">
        <w:rPr>
          <w:noProof/>
        </w:rPr>
        <w:t>9</w:t>
      </w:r>
      <w:r>
        <w:rPr>
          <w:noProof/>
        </w:rPr>
        <w:fldChar w:fldCharType="end"/>
      </w:r>
      <w:r w:rsidRPr="00281D35">
        <w:t>. Probability of detection and false alarm</w:t>
      </w:r>
      <w:r w:rsidRPr="00281D35">
        <w:rPr>
          <w:noProof/>
        </w:rPr>
        <w:t xml:space="preserve"> of RNTI-based wakeup signal (i.e. DCI-based WUS with PDCCH decoder). </w:t>
      </w:r>
      <w:r>
        <w:rPr>
          <w:noProof/>
        </w:rPr>
        <w:t>The channel delay spread is 100e-9 seconds.</w:t>
      </w:r>
    </w:p>
    <w:p w14:paraId="7270AF93" w14:textId="77777777" w:rsidR="00716598" w:rsidRDefault="00716598" w:rsidP="00716598">
      <w:pPr>
        <w:pStyle w:val="BodyText"/>
        <w:rPr>
          <w:lang w:val="en-GB"/>
        </w:rPr>
      </w:pPr>
    </w:p>
    <w:p w14:paraId="680C985B" w14:textId="77777777" w:rsidR="00716598" w:rsidRDefault="00716598" w:rsidP="00716598">
      <w:pPr>
        <w:pStyle w:val="BodyText"/>
        <w:rPr>
          <w:lang w:val="en-GB"/>
        </w:rPr>
      </w:pPr>
    </w:p>
    <w:p w14:paraId="463DC1EF" w14:textId="77777777" w:rsidR="00716598" w:rsidRDefault="00716598" w:rsidP="00716598">
      <w:pPr>
        <w:pStyle w:val="BodyText"/>
        <w:rPr>
          <w:lang w:val="en-GB"/>
        </w:rPr>
      </w:pPr>
    </w:p>
    <w:p w14:paraId="4A45D6B9" w14:textId="77777777" w:rsidR="00716598" w:rsidRDefault="00716598" w:rsidP="00716598">
      <w:pPr>
        <w:pStyle w:val="BodyText"/>
        <w:rPr>
          <w:lang w:val="en-GB"/>
        </w:rPr>
      </w:pPr>
    </w:p>
    <w:p w14:paraId="744B5C6F" w14:textId="77777777" w:rsidR="00716598" w:rsidRDefault="00716598" w:rsidP="00716598">
      <w:pPr>
        <w:pStyle w:val="BodyText"/>
        <w:rPr>
          <w:lang w:val="en-GB"/>
        </w:rPr>
      </w:pPr>
    </w:p>
    <w:p w14:paraId="0A25F761" w14:textId="77777777" w:rsidR="00716598" w:rsidRDefault="00716598" w:rsidP="00716598">
      <w:pPr>
        <w:pStyle w:val="BodyText"/>
        <w:rPr>
          <w:lang w:val="en-GB"/>
        </w:rPr>
      </w:pPr>
    </w:p>
    <w:p w14:paraId="6D8FEAD3" w14:textId="77777777" w:rsidR="00716598" w:rsidRDefault="00716598" w:rsidP="00716598">
      <w:pPr>
        <w:pStyle w:val="BodyText"/>
        <w:rPr>
          <w:lang w:val="en-GB"/>
        </w:rPr>
      </w:pPr>
    </w:p>
    <w:p w14:paraId="45308F65" w14:textId="77777777" w:rsidR="00716598" w:rsidRDefault="00716598" w:rsidP="00716598">
      <w:pPr>
        <w:pStyle w:val="BodyText"/>
        <w:rPr>
          <w:lang w:val="en-GB"/>
        </w:rPr>
      </w:pPr>
    </w:p>
    <w:p w14:paraId="72FA0183" w14:textId="77777777" w:rsidR="00716598" w:rsidRDefault="00716598" w:rsidP="00716598">
      <w:pPr>
        <w:pStyle w:val="BodyText"/>
        <w:rPr>
          <w:lang w:val="en-GB"/>
        </w:rPr>
      </w:pPr>
    </w:p>
    <w:p w14:paraId="7C18E709" w14:textId="77777777" w:rsidR="00716598" w:rsidRDefault="00716598" w:rsidP="00716598">
      <w:pPr>
        <w:pStyle w:val="BodyText"/>
        <w:rPr>
          <w:lang w:val="en-GB"/>
        </w:rPr>
      </w:pPr>
    </w:p>
    <w:p w14:paraId="62644C90" w14:textId="77777777" w:rsidR="00716598" w:rsidRDefault="00716598" w:rsidP="00716598">
      <w:pPr>
        <w:pStyle w:val="BodyText"/>
        <w:rPr>
          <w:lang w:val="en-GB"/>
        </w:rPr>
      </w:pPr>
    </w:p>
    <w:p w14:paraId="3CDA19BD" w14:textId="77777777" w:rsidR="00716598" w:rsidRDefault="00716598" w:rsidP="00716598">
      <w:pPr>
        <w:pStyle w:val="BodyText"/>
        <w:rPr>
          <w:lang w:val="en-GB"/>
        </w:rPr>
      </w:pPr>
    </w:p>
    <w:p w14:paraId="161A30F1" w14:textId="77777777" w:rsidR="00716598" w:rsidRDefault="00716598" w:rsidP="00716598">
      <w:pPr>
        <w:pStyle w:val="BodyText"/>
        <w:rPr>
          <w:lang w:val="en-GB"/>
        </w:rPr>
      </w:pPr>
    </w:p>
    <w:p w14:paraId="05D459C2" w14:textId="77777777" w:rsidR="00716598" w:rsidRDefault="00716598" w:rsidP="00716598">
      <w:pPr>
        <w:pStyle w:val="BodyText"/>
        <w:rPr>
          <w:lang w:val="en-GB"/>
        </w:rPr>
      </w:pPr>
    </w:p>
    <w:p w14:paraId="3E84108A" w14:textId="77777777" w:rsidR="00716598" w:rsidRDefault="00716598" w:rsidP="00716598">
      <w:pPr>
        <w:pStyle w:val="BodyText"/>
        <w:rPr>
          <w:lang w:val="en-GB"/>
        </w:rPr>
      </w:pPr>
    </w:p>
    <w:p w14:paraId="6B7B4649" w14:textId="77777777" w:rsidR="00716598" w:rsidRDefault="00716598" w:rsidP="00716598">
      <w:pPr>
        <w:pStyle w:val="BodyText"/>
        <w:rPr>
          <w:lang w:val="en-GB"/>
        </w:rPr>
      </w:pPr>
    </w:p>
    <w:p w14:paraId="73445BA6" w14:textId="77777777" w:rsidR="00716598" w:rsidRDefault="00716598" w:rsidP="00716598">
      <w:pPr>
        <w:pStyle w:val="BodyText"/>
        <w:rPr>
          <w:lang w:val="en-GB"/>
        </w:rPr>
      </w:pPr>
    </w:p>
    <w:p w14:paraId="207CD655" w14:textId="77777777" w:rsidR="00716598" w:rsidRDefault="00716598" w:rsidP="00716598">
      <w:pPr>
        <w:pStyle w:val="BodyText"/>
        <w:rPr>
          <w:lang w:val="en-GB"/>
        </w:rPr>
      </w:pPr>
    </w:p>
    <w:p w14:paraId="70374B6D" w14:textId="77777777" w:rsidR="00716598" w:rsidRPr="00E46576" w:rsidRDefault="00716598" w:rsidP="00716598">
      <w:pPr>
        <w:pStyle w:val="BodyText"/>
        <w:jc w:val="center"/>
        <w:rPr>
          <w:b/>
          <w:lang w:val="en-GB"/>
        </w:rPr>
      </w:pPr>
      <w:r w:rsidRPr="00E46576">
        <w:rPr>
          <w:b/>
          <w:lang w:val="en-GB"/>
        </w:rPr>
        <w:lastRenderedPageBreak/>
        <w:t>Annex B (</w:t>
      </w:r>
      <w:r>
        <w:rPr>
          <w:b/>
          <w:lang w:val="en-GB"/>
        </w:rPr>
        <w:t xml:space="preserve">Additional Evaluations for Time-domain correlator detection of DCI vs </w:t>
      </w:r>
      <w:r w:rsidRPr="00E46576">
        <w:rPr>
          <w:b/>
          <w:lang w:val="en-GB"/>
        </w:rPr>
        <w:t>Sequence-based WUS)</w:t>
      </w:r>
    </w:p>
    <w:p w14:paraId="1455788E" w14:textId="77777777" w:rsidR="00716598" w:rsidRPr="00C5728D" w:rsidRDefault="00716598" w:rsidP="00716598">
      <w:pPr>
        <w:keepNext/>
      </w:pPr>
      <w:r w:rsidRPr="000A21D6">
        <w:rPr>
          <w:noProof/>
        </w:rPr>
        <w:drawing>
          <wp:inline distT="0" distB="0" distL="0" distR="0" wp14:anchorId="46370E51" wp14:editId="492D16DC">
            <wp:extent cx="6398293" cy="36379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04250" cy="3641302"/>
                    </a:xfrm>
                    <a:prstGeom prst="rect">
                      <a:avLst/>
                    </a:prstGeom>
                    <a:noFill/>
                    <a:ln>
                      <a:noFill/>
                    </a:ln>
                  </pic:spPr>
                </pic:pic>
              </a:graphicData>
            </a:graphic>
          </wp:inline>
        </w:drawing>
      </w:r>
      <w:r w:rsidRPr="00C5728D" w:rsidDel="000A21D6">
        <w:t xml:space="preserve"> </w:t>
      </w:r>
    </w:p>
    <w:p w14:paraId="2DFE9F0D" w14:textId="77777777" w:rsidR="00716598" w:rsidRPr="00C5728D" w:rsidRDefault="00716598" w:rsidP="00716598">
      <w:pPr>
        <w:pStyle w:val="Caption"/>
      </w:pPr>
      <w:r w:rsidRPr="00C5728D">
        <w:t xml:space="preserve">Figure </w:t>
      </w:r>
      <w:r>
        <w:rPr>
          <w:noProof/>
        </w:rPr>
        <w:fldChar w:fldCharType="begin"/>
      </w:r>
      <w:r w:rsidRPr="00C5728D">
        <w:rPr>
          <w:noProof/>
        </w:rPr>
        <w:instrText xml:space="preserve"> SEQ Figure \* ARABIC </w:instrText>
      </w:r>
      <w:r>
        <w:rPr>
          <w:noProof/>
        </w:rPr>
        <w:fldChar w:fldCharType="separate"/>
      </w:r>
      <w:r w:rsidRPr="00C5728D">
        <w:rPr>
          <w:noProof/>
        </w:rPr>
        <w:t>11</w:t>
      </w:r>
      <w:r>
        <w:rPr>
          <w:noProof/>
        </w:rPr>
        <w:fldChar w:fldCharType="end"/>
      </w:r>
      <w:r w:rsidRPr="00C5728D">
        <w:t xml:space="preserve">. Probability of Detection versus False Alarm at SNR equal to -6 </w:t>
      </w:r>
      <w:proofErr w:type="spellStart"/>
      <w:r w:rsidRPr="00C5728D">
        <w:t>dB.</w:t>
      </w:r>
      <w:proofErr w:type="spellEnd"/>
      <w:r w:rsidRPr="00C5728D">
        <w:t xml:space="preserve"> Channel delay spread is 100e-9 seconds.</w:t>
      </w:r>
    </w:p>
    <w:p w14:paraId="1C2889CB" w14:textId="77777777" w:rsidR="00716598" w:rsidRPr="00C5728D" w:rsidRDefault="00716598" w:rsidP="00716598">
      <w:pPr>
        <w:pStyle w:val="BodyText"/>
        <w:keepNext/>
      </w:pPr>
      <w:r w:rsidRPr="00C5728D">
        <w:t xml:space="preserve"> </w:t>
      </w:r>
      <w:r w:rsidRPr="00986D72">
        <w:rPr>
          <w:noProof/>
        </w:rPr>
        <w:drawing>
          <wp:inline distT="0" distB="0" distL="0" distR="0" wp14:anchorId="61D2E32A" wp14:editId="7261BC03">
            <wp:extent cx="6153912" cy="350215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53912" cy="3502152"/>
                    </a:xfrm>
                    <a:prstGeom prst="rect">
                      <a:avLst/>
                    </a:prstGeom>
                    <a:noFill/>
                    <a:ln>
                      <a:noFill/>
                    </a:ln>
                  </pic:spPr>
                </pic:pic>
              </a:graphicData>
            </a:graphic>
          </wp:inline>
        </w:drawing>
      </w:r>
      <w:r w:rsidRPr="00C5728D" w:rsidDel="00986D72">
        <w:t xml:space="preserve"> </w:t>
      </w:r>
    </w:p>
    <w:p w14:paraId="5A3B02F1" w14:textId="77777777" w:rsidR="00716598" w:rsidRDefault="00716598" w:rsidP="00716598">
      <w:pPr>
        <w:pStyle w:val="Caption"/>
        <w:jc w:val="both"/>
      </w:pPr>
      <w:r w:rsidRPr="00C5728D">
        <w:t xml:space="preserve">Figure </w:t>
      </w:r>
      <w:r>
        <w:rPr>
          <w:noProof/>
        </w:rPr>
        <w:fldChar w:fldCharType="begin"/>
      </w:r>
      <w:r w:rsidRPr="00C5728D">
        <w:rPr>
          <w:noProof/>
        </w:rPr>
        <w:instrText xml:space="preserve"> SEQ Figure \* ARABIC </w:instrText>
      </w:r>
      <w:r>
        <w:rPr>
          <w:noProof/>
        </w:rPr>
        <w:fldChar w:fldCharType="separate"/>
      </w:r>
      <w:r w:rsidRPr="00C5728D">
        <w:rPr>
          <w:noProof/>
        </w:rPr>
        <w:t>12</w:t>
      </w:r>
      <w:r>
        <w:rPr>
          <w:noProof/>
        </w:rPr>
        <w:fldChar w:fldCharType="end"/>
      </w:r>
      <w:r w:rsidRPr="00C5728D">
        <w:t xml:space="preserve">. Probability of detection versus false-alarm at SNR equal to -6 </w:t>
      </w:r>
      <w:proofErr w:type="spellStart"/>
      <w:r w:rsidRPr="00C5728D">
        <w:t>dB.</w:t>
      </w:r>
      <w:proofErr w:type="spellEnd"/>
      <w:r w:rsidRPr="00C5728D">
        <w:t xml:space="preserve"> </w:t>
      </w:r>
      <w:r>
        <w:t>Channel delay spread is 300e-9 seconds.</w:t>
      </w:r>
    </w:p>
    <w:p w14:paraId="24ECBB5B" w14:textId="77777777" w:rsidR="00716598" w:rsidRDefault="00716598" w:rsidP="00716598">
      <w:pPr>
        <w:rPr>
          <w:lang w:eastAsia="en-GB"/>
        </w:rPr>
      </w:pPr>
    </w:p>
    <w:p w14:paraId="28DC69CD" w14:textId="77777777" w:rsidR="00716598" w:rsidRDefault="00716598" w:rsidP="00716598">
      <w:pPr>
        <w:rPr>
          <w:lang w:eastAsia="en-GB"/>
        </w:rPr>
      </w:pPr>
      <w:r w:rsidRPr="00A1165C">
        <w:rPr>
          <w:lang w:eastAsia="en-GB"/>
        </w:rPr>
        <w:lastRenderedPageBreak/>
        <w:t xml:space="preserve"> </w:t>
      </w:r>
      <w:r w:rsidRPr="002E2AEF">
        <w:rPr>
          <w:lang w:eastAsia="en-GB"/>
        </w:rPr>
        <w:t xml:space="preserve"> </w:t>
      </w:r>
      <w:r w:rsidRPr="002E2AEF">
        <w:rPr>
          <w:noProof/>
          <w:lang w:eastAsia="en-GB"/>
        </w:rPr>
        <w:drawing>
          <wp:inline distT="0" distB="0" distL="0" distR="0" wp14:anchorId="2A76C5AA" wp14:editId="2989C6ED">
            <wp:extent cx="6120765" cy="345110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3451104"/>
                    </a:xfrm>
                    <a:prstGeom prst="rect">
                      <a:avLst/>
                    </a:prstGeom>
                    <a:noFill/>
                    <a:ln>
                      <a:noFill/>
                    </a:ln>
                  </pic:spPr>
                </pic:pic>
              </a:graphicData>
            </a:graphic>
          </wp:inline>
        </w:drawing>
      </w:r>
    </w:p>
    <w:p w14:paraId="2AD3ABD9" w14:textId="77777777" w:rsidR="00716598" w:rsidRDefault="00716598" w:rsidP="00716598">
      <w:pPr>
        <w:pStyle w:val="Caption"/>
      </w:pPr>
      <w:r w:rsidRPr="00C5728D">
        <w:t xml:space="preserve">Figure </w:t>
      </w:r>
      <w:r>
        <w:rPr>
          <w:noProof/>
        </w:rPr>
        <w:fldChar w:fldCharType="begin"/>
      </w:r>
      <w:r w:rsidRPr="00C5728D">
        <w:rPr>
          <w:noProof/>
        </w:rPr>
        <w:instrText xml:space="preserve"> SEQ Figure \* ARABIC </w:instrText>
      </w:r>
      <w:r>
        <w:rPr>
          <w:noProof/>
        </w:rPr>
        <w:fldChar w:fldCharType="separate"/>
      </w:r>
      <w:r w:rsidRPr="00C5728D">
        <w:rPr>
          <w:noProof/>
        </w:rPr>
        <w:t>13</w:t>
      </w:r>
      <w:r>
        <w:rPr>
          <w:noProof/>
        </w:rPr>
        <w:fldChar w:fldCharType="end"/>
      </w:r>
      <w:r w:rsidRPr="00C5728D">
        <w:t xml:space="preserve">. Probability of Detection versus False Alarm at SNR equal to +4 </w:t>
      </w:r>
      <w:proofErr w:type="spellStart"/>
      <w:r w:rsidRPr="00C5728D">
        <w:t>dB.</w:t>
      </w:r>
      <w:proofErr w:type="spellEnd"/>
      <w:r w:rsidRPr="00C5728D">
        <w:t xml:space="preserve"> </w:t>
      </w:r>
      <w:r>
        <w:t>Channel delay spread is 100e-9 seconds.</w:t>
      </w:r>
    </w:p>
    <w:p w14:paraId="15747D86" w14:textId="77777777" w:rsidR="00716598" w:rsidRDefault="00716598" w:rsidP="00716598">
      <w:pPr>
        <w:rPr>
          <w:lang w:eastAsia="en-GB"/>
        </w:rPr>
      </w:pPr>
      <w:r w:rsidRPr="002E2AEF">
        <w:rPr>
          <w:noProof/>
          <w:lang w:eastAsia="en-GB"/>
        </w:rPr>
        <w:drawing>
          <wp:inline distT="0" distB="0" distL="0" distR="0" wp14:anchorId="25A14678" wp14:editId="3719314D">
            <wp:extent cx="5952744" cy="33558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52744" cy="3355848"/>
                    </a:xfrm>
                    <a:prstGeom prst="rect">
                      <a:avLst/>
                    </a:prstGeom>
                    <a:noFill/>
                    <a:ln>
                      <a:noFill/>
                    </a:ln>
                  </pic:spPr>
                </pic:pic>
              </a:graphicData>
            </a:graphic>
          </wp:inline>
        </w:drawing>
      </w:r>
    </w:p>
    <w:p w14:paraId="3100416B" w14:textId="77777777" w:rsidR="00716598" w:rsidRDefault="00716598" w:rsidP="00716598">
      <w:pPr>
        <w:pStyle w:val="Caption"/>
        <w:jc w:val="both"/>
      </w:pPr>
      <w:r w:rsidRPr="00C5728D">
        <w:t xml:space="preserve">Figure </w:t>
      </w:r>
      <w:r>
        <w:rPr>
          <w:noProof/>
        </w:rPr>
        <w:fldChar w:fldCharType="begin"/>
      </w:r>
      <w:r w:rsidRPr="00C5728D">
        <w:rPr>
          <w:noProof/>
        </w:rPr>
        <w:instrText xml:space="preserve"> SEQ Figure \* ARABIC </w:instrText>
      </w:r>
      <w:r>
        <w:rPr>
          <w:noProof/>
        </w:rPr>
        <w:fldChar w:fldCharType="separate"/>
      </w:r>
      <w:r>
        <w:rPr>
          <w:noProof/>
        </w:rPr>
        <w:t>10</w:t>
      </w:r>
      <w:r>
        <w:rPr>
          <w:noProof/>
        </w:rPr>
        <w:fldChar w:fldCharType="end"/>
      </w:r>
      <w:r w:rsidRPr="00C5728D">
        <w:t xml:space="preserve">. Probability of detection versus false-alarm at SNR equal to +4 </w:t>
      </w:r>
      <w:proofErr w:type="spellStart"/>
      <w:r w:rsidRPr="00C5728D">
        <w:t>dB.</w:t>
      </w:r>
      <w:proofErr w:type="spellEnd"/>
      <w:r w:rsidRPr="00C5728D">
        <w:t xml:space="preserve"> </w:t>
      </w:r>
      <w:r>
        <w:t>Channel delay spread is 300e-9 seconds.</w:t>
      </w:r>
    </w:p>
    <w:p w14:paraId="71DA6123" w14:textId="77777777" w:rsidR="00716598" w:rsidRPr="00E46576" w:rsidRDefault="00716598" w:rsidP="00716598"/>
    <w:p w14:paraId="61CD6F8D" w14:textId="77777777" w:rsidR="00716598" w:rsidRPr="00E46576" w:rsidRDefault="00716598" w:rsidP="00716598">
      <w:pPr>
        <w:rPr>
          <w:lang w:val="en-GB"/>
        </w:rPr>
      </w:pPr>
    </w:p>
    <w:p w14:paraId="49C048E1" w14:textId="77777777" w:rsidR="00E116F3" w:rsidRDefault="00303E64"/>
    <w:sectPr w:rsidR="00E116F3" w:rsidSect="00C473A5">
      <w:headerReference w:type="even" r:id="rId29"/>
      <w:footerReference w:type="default" r:id="rId3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563B15" w14:textId="77777777" w:rsidR="00303E64" w:rsidRDefault="00303E64">
      <w:pPr>
        <w:spacing w:after="0" w:line="240" w:lineRule="auto"/>
      </w:pPr>
      <w:r>
        <w:separator/>
      </w:r>
    </w:p>
  </w:endnote>
  <w:endnote w:type="continuationSeparator" w:id="0">
    <w:p w14:paraId="460E6332" w14:textId="77777777" w:rsidR="00303E64" w:rsidRDefault="00303E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B373B3" w14:textId="77777777" w:rsidR="00E446AC" w:rsidRDefault="00716598"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079C7B" w14:textId="77777777" w:rsidR="00303E64" w:rsidRDefault="00303E64">
      <w:pPr>
        <w:spacing w:after="0" w:line="240" w:lineRule="auto"/>
      </w:pPr>
      <w:r>
        <w:separator/>
      </w:r>
    </w:p>
  </w:footnote>
  <w:footnote w:type="continuationSeparator" w:id="0">
    <w:p w14:paraId="3C28C350" w14:textId="77777777" w:rsidR="00303E64" w:rsidRDefault="00303E6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852A4B" w14:textId="77777777" w:rsidR="00E446AC" w:rsidRDefault="00716598">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AA46647"/>
    <w:multiLevelType w:val="hybridMultilevel"/>
    <w:tmpl w:val="5A20F35A"/>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43A97FAE"/>
    <w:multiLevelType w:val="hybridMultilevel"/>
    <w:tmpl w:val="C2EECB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40E1F80"/>
    <w:multiLevelType w:val="hybridMultilevel"/>
    <w:tmpl w:val="4F4222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49515CFE"/>
    <w:multiLevelType w:val="hybridMultilevel"/>
    <w:tmpl w:val="D236DF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101505E"/>
    <w:multiLevelType w:val="hybridMultilevel"/>
    <w:tmpl w:val="A9964D5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 w15:restartNumberingAfterBreak="0">
    <w:nsid w:val="6FCD58C3"/>
    <w:multiLevelType w:val="hybridMultilevel"/>
    <w:tmpl w:val="F7AC4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4"/>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num>
  <w:num w:numId="7">
    <w:abstractNumId w:val="1"/>
  </w:num>
  <w:num w:numId="8">
    <w:abstractNumId w:val="3"/>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grammar="clean"/>
  <w:defaultTabStop w:val="720"/>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6598"/>
    <w:rsid w:val="00101CC4"/>
    <w:rsid w:val="00303E64"/>
    <w:rsid w:val="00342C7C"/>
    <w:rsid w:val="00613659"/>
    <w:rsid w:val="00716598"/>
    <w:rsid w:val="007F4FED"/>
    <w:rsid w:val="00850ADC"/>
    <w:rsid w:val="008B1135"/>
    <w:rsid w:val="009518AD"/>
    <w:rsid w:val="009B2D63"/>
    <w:rsid w:val="00A12093"/>
    <w:rsid w:val="00C25D75"/>
    <w:rsid w:val="00C51906"/>
    <w:rsid w:val="00C83436"/>
    <w:rsid w:val="00DC5C4A"/>
    <w:rsid w:val="00E4346C"/>
    <w:rsid w:val="00F95D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257B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16598"/>
  </w:style>
  <w:style w:type="paragraph" w:styleId="Heading1">
    <w:name w:val="heading 1"/>
    <w:next w:val="Normal"/>
    <w:link w:val="Heading1Char"/>
    <w:qFormat/>
    <w:rsid w:val="0071659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716598"/>
    <w:pPr>
      <w:pBdr>
        <w:top w:val="none" w:sz="0" w:space="0" w:color="auto"/>
      </w:pBdr>
      <w:spacing w:before="180"/>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16598"/>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716598"/>
    <w:rPr>
      <w:rFonts w:ascii="Arial" w:eastAsia="Times New Roman" w:hAnsi="Arial" w:cs="Times New Roman"/>
      <w:sz w:val="32"/>
      <w:szCs w:val="20"/>
      <w:lang w:val="en-GB" w:eastAsia="ja-JP"/>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716598"/>
    <w:pPr>
      <w:spacing w:before="120" w:after="120"/>
    </w:pPr>
    <w:rPr>
      <w:b/>
      <w:lang w:eastAsia="en-GB"/>
    </w:rPr>
  </w:style>
  <w:style w:type="paragraph" w:customStyle="1" w:styleId="3GPPHeader">
    <w:name w:val="3GPP_Header"/>
    <w:basedOn w:val="BodyText"/>
    <w:rsid w:val="00716598"/>
    <w:pPr>
      <w:tabs>
        <w:tab w:val="left" w:pos="1701"/>
        <w:tab w:val="right" w:pos="9639"/>
      </w:tabs>
      <w:spacing w:after="240"/>
    </w:pPr>
    <w:rPr>
      <w:b/>
      <w:sz w:val="24"/>
    </w:rPr>
  </w:style>
  <w:style w:type="paragraph" w:styleId="Footer">
    <w:name w:val="footer"/>
    <w:basedOn w:val="Header"/>
    <w:link w:val="FooterChar"/>
    <w:rsid w:val="00716598"/>
    <w:pPr>
      <w:widowControl w:val="0"/>
      <w:tabs>
        <w:tab w:val="clear" w:pos="4680"/>
        <w:tab w:val="clear" w:pos="9360"/>
      </w:tabs>
      <w:overflowPunct w:val="0"/>
      <w:autoSpaceDE w:val="0"/>
      <w:autoSpaceDN w:val="0"/>
      <w:adjustRightInd w:val="0"/>
      <w:jc w:val="center"/>
      <w:textAlignment w:val="baseline"/>
    </w:pPr>
    <w:rPr>
      <w:rFonts w:ascii="Arial" w:eastAsia="Times New Roman" w:hAnsi="Arial" w:cs="Times New Roman"/>
      <w:b/>
      <w:i/>
      <w:noProof/>
      <w:sz w:val="18"/>
      <w:szCs w:val="20"/>
      <w:lang w:val="en-GB" w:eastAsia="ja-JP"/>
    </w:rPr>
  </w:style>
  <w:style w:type="character" w:customStyle="1" w:styleId="FooterChar">
    <w:name w:val="Footer Char"/>
    <w:basedOn w:val="DefaultParagraphFont"/>
    <w:link w:val="Footer"/>
    <w:rsid w:val="00716598"/>
    <w:rPr>
      <w:rFonts w:ascii="Arial" w:eastAsia="Times New Roman" w:hAnsi="Arial" w:cs="Times New Roman"/>
      <w:b/>
      <w:i/>
      <w:noProof/>
      <w:sz w:val="18"/>
      <w:szCs w:val="20"/>
      <w:lang w:val="en-GB" w:eastAsia="ja-JP"/>
    </w:rPr>
  </w:style>
  <w:style w:type="character" w:styleId="PageNumber">
    <w:name w:val="page number"/>
    <w:basedOn w:val="DefaultParagraphFont"/>
    <w:rsid w:val="00716598"/>
  </w:style>
  <w:style w:type="paragraph" w:styleId="BodyText">
    <w:name w:val="Body Text"/>
    <w:basedOn w:val="Normal"/>
    <w:link w:val="BodyTextChar"/>
    <w:rsid w:val="00716598"/>
    <w:pPr>
      <w:spacing w:after="120"/>
      <w:jc w:val="both"/>
    </w:pPr>
    <w:rPr>
      <w:rFonts w:ascii="Arial" w:hAnsi="Arial"/>
      <w:lang w:eastAsia="zh-CN"/>
    </w:rPr>
  </w:style>
  <w:style w:type="character" w:customStyle="1" w:styleId="BodyTextChar">
    <w:name w:val="Body Text Char"/>
    <w:basedOn w:val="DefaultParagraphFont"/>
    <w:link w:val="BodyText"/>
    <w:rsid w:val="00716598"/>
    <w:rPr>
      <w:rFonts w:ascii="Arial" w:hAnsi="Arial"/>
      <w:lang w:eastAsia="zh-CN"/>
    </w:rPr>
  </w:style>
  <w:style w:type="character" w:styleId="Hyperlink">
    <w:name w:val="Hyperlink"/>
    <w:uiPriority w:val="99"/>
    <w:rsid w:val="00716598"/>
    <w:rPr>
      <w:color w:val="0000FF"/>
      <w:u w:val="single"/>
    </w:rPr>
  </w:style>
  <w:style w:type="paragraph" w:customStyle="1" w:styleId="Proposal">
    <w:name w:val="Proposal"/>
    <w:basedOn w:val="BodyText"/>
    <w:rsid w:val="00716598"/>
    <w:pPr>
      <w:numPr>
        <w:numId w:val="2"/>
      </w:numPr>
      <w:tabs>
        <w:tab w:val="left" w:pos="1701"/>
      </w:tabs>
    </w:pPr>
    <w:rPr>
      <w:b/>
      <w:bCs/>
    </w:rPr>
  </w:style>
  <w:style w:type="paragraph" w:customStyle="1" w:styleId="Observation">
    <w:name w:val="Observation"/>
    <w:basedOn w:val="Proposal"/>
    <w:qFormat/>
    <w:rsid w:val="00716598"/>
    <w:pPr>
      <w:numPr>
        <w:numId w:val="3"/>
      </w:numPr>
    </w:pPr>
    <w:rPr>
      <w:lang w:eastAsia="ja-JP"/>
    </w:rPr>
  </w:style>
  <w:style w:type="paragraph" w:styleId="TableofFigures">
    <w:name w:val="table of figures"/>
    <w:basedOn w:val="BodyText"/>
    <w:next w:val="Normal"/>
    <w:uiPriority w:val="99"/>
    <w:rsid w:val="00716598"/>
    <w:pPr>
      <w:ind w:left="1701" w:hanging="1701"/>
      <w:jc w:val="left"/>
    </w:pPr>
    <w:rPr>
      <w:b/>
    </w:rPr>
  </w:style>
  <w:style w:type="paragraph" w:styleId="ListParagraph">
    <w:name w:val="List Paragraph"/>
    <w:aliases w:val="- Bullets,목록 단락,リスト段落,列出段落,?? ??,?????,????,Lista1,列出段落1,中等深浅网格 1 - 着色 21,列表段落"/>
    <w:basedOn w:val="Normal"/>
    <w:link w:val="ListParagraphChar"/>
    <w:uiPriority w:val="34"/>
    <w:qFormat/>
    <w:rsid w:val="00716598"/>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
    <w:link w:val="ListParagraph"/>
    <w:uiPriority w:val="34"/>
    <w:qFormat/>
    <w:locked/>
    <w:rsid w:val="00716598"/>
    <w:rPr>
      <w:rFonts w:ascii="Calibri" w:eastAsia="Calibri" w:hAnsi="Calibri"/>
      <w:lang w:val="x-none"/>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rsid w:val="00716598"/>
    <w:rPr>
      <w:b/>
      <w:lang w:eastAsia="en-GB"/>
    </w:rPr>
  </w:style>
  <w:style w:type="paragraph" w:customStyle="1" w:styleId="references">
    <w:name w:val="references"/>
    <w:rsid w:val="00716598"/>
    <w:pPr>
      <w:numPr>
        <w:numId w:val="1"/>
      </w:numPr>
      <w:spacing w:after="50" w:line="180" w:lineRule="exact"/>
      <w:jc w:val="both"/>
    </w:pPr>
    <w:rPr>
      <w:rFonts w:ascii="Times New Roman" w:eastAsia="MS Mincho" w:hAnsi="Times New Roman" w:cs="Times New Roman"/>
      <w:noProof/>
      <w:sz w:val="16"/>
      <w:szCs w:val="16"/>
    </w:rPr>
  </w:style>
  <w:style w:type="character" w:customStyle="1" w:styleId="IvDbodytextChar">
    <w:name w:val="IvD bodytext Char"/>
    <w:basedOn w:val="DefaultParagraphFont"/>
    <w:link w:val="IvDbodytext"/>
    <w:locked/>
    <w:rsid w:val="00716598"/>
    <w:rPr>
      <w:rFonts w:ascii="Arial" w:hAnsi="Arial" w:cs="Arial"/>
      <w:spacing w:val="2"/>
    </w:rPr>
  </w:style>
  <w:style w:type="paragraph" w:customStyle="1" w:styleId="IvDbodytext">
    <w:name w:val="IvD bodytext"/>
    <w:basedOn w:val="BodyText"/>
    <w:link w:val="IvDbodytextChar"/>
    <w:qFormat/>
    <w:rsid w:val="00716598"/>
    <w:pPr>
      <w:keepLines/>
      <w:tabs>
        <w:tab w:val="left" w:pos="2552"/>
        <w:tab w:val="left" w:pos="3856"/>
        <w:tab w:val="left" w:pos="5216"/>
        <w:tab w:val="left" w:pos="6464"/>
        <w:tab w:val="left" w:pos="7768"/>
        <w:tab w:val="left" w:pos="9072"/>
        <w:tab w:val="left" w:pos="9639"/>
      </w:tabs>
      <w:spacing w:before="240" w:after="0" w:line="240" w:lineRule="auto"/>
      <w:jc w:val="left"/>
    </w:pPr>
    <w:rPr>
      <w:rFonts w:cs="Arial"/>
      <w:spacing w:val="2"/>
      <w:lang w:eastAsia="en-US"/>
    </w:rPr>
  </w:style>
  <w:style w:type="paragraph" w:styleId="Header">
    <w:name w:val="header"/>
    <w:basedOn w:val="Normal"/>
    <w:link w:val="HeaderChar"/>
    <w:uiPriority w:val="99"/>
    <w:unhideWhenUsed/>
    <w:rsid w:val="00716598"/>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65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diagramLayout" Target="diagrams/layout1.xml"/><Relationship Id="rId18" Type="http://schemas.openxmlformats.org/officeDocument/2006/relationships/diagramLayout" Target="diagrams/layout2.xml"/><Relationship Id="rId26" Type="http://schemas.openxmlformats.org/officeDocument/2006/relationships/image" Target="media/image10.emf"/><Relationship Id="rId3" Type="http://schemas.openxmlformats.org/officeDocument/2006/relationships/settings" Target="settings.xml"/><Relationship Id="rId21" Type="http://schemas.microsoft.com/office/2007/relationships/diagramDrawing" Target="diagrams/drawing2.xml"/><Relationship Id="rId7" Type="http://schemas.openxmlformats.org/officeDocument/2006/relationships/image" Target="media/image1.png"/><Relationship Id="rId12" Type="http://schemas.openxmlformats.org/officeDocument/2006/relationships/diagramData" Target="diagrams/data1.xml"/><Relationship Id="rId17" Type="http://schemas.openxmlformats.org/officeDocument/2006/relationships/diagramData" Target="diagrams/data2.xml"/><Relationship Id="rId25" Type="http://schemas.openxmlformats.org/officeDocument/2006/relationships/image" Target="media/image9.emf"/><Relationship Id="rId2" Type="http://schemas.openxmlformats.org/officeDocument/2006/relationships/styles" Target="styles.xml"/><Relationship Id="rId16" Type="http://schemas.microsoft.com/office/2007/relationships/diagramDrawing" Target="diagrams/drawing1.xml"/><Relationship Id="rId20" Type="http://schemas.openxmlformats.org/officeDocument/2006/relationships/diagramColors" Target="diagrams/colors2.xm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diagramColors" Target="diagrams/colors1.xml"/><Relationship Id="rId23" Type="http://schemas.openxmlformats.org/officeDocument/2006/relationships/image" Target="media/image7.emf"/><Relationship Id="rId28" Type="http://schemas.openxmlformats.org/officeDocument/2006/relationships/image" Target="media/image12.emf"/><Relationship Id="rId10" Type="http://schemas.openxmlformats.org/officeDocument/2006/relationships/image" Target="media/image4.png"/><Relationship Id="rId19" Type="http://schemas.openxmlformats.org/officeDocument/2006/relationships/diagramQuickStyle" Target="diagrams/quickStyle2.xm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diagramQuickStyle" Target="diagrams/quickStyle1.xml"/><Relationship Id="rId22" Type="http://schemas.openxmlformats.org/officeDocument/2006/relationships/image" Target="media/image6.emf"/><Relationship Id="rId27" Type="http://schemas.openxmlformats.org/officeDocument/2006/relationships/image" Target="media/image11.emf"/><Relationship Id="rId30" Type="http://schemas.openxmlformats.org/officeDocument/2006/relationships/footer" Target="footer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F714408-65ED-4CC5-B38A-7B7B25F29577}" type="doc">
      <dgm:prSet loTypeId="urn:microsoft.com/office/officeart/2005/8/layout/process1" loCatId="process" qsTypeId="urn:microsoft.com/office/officeart/2005/8/quickstyle/simple1" qsCatId="simple" csTypeId="urn:microsoft.com/office/officeart/2005/8/colors/accent1_2" csCatId="accent1" phldr="1"/>
      <dgm:spPr/>
    </dgm:pt>
    <dgm:pt modelId="{22EE5292-6B39-4190-B856-9F0A66D922D3}">
      <dgm:prSet phldrT="[Text]"/>
      <dgm:spPr>
        <a:xfrm>
          <a:off x="0" y="193750"/>
          <a:ext cx="686296" cy="817122"/>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DCI bits</a:t>
          </a:r>
        </a:p>
      </dgm:t>
    </dgm:pt>
    <dgm:pt modelId="{FA13FD3A-4239-44F1-B0F9-E5F534C95FD1}" type="parTrans" cxnId="{2AEA6A48-93A3-44FB-BBB8-B8C4F9FC9DC8}">
      <dgm:prSet/>
      <dgm:spPr/>
      <dgm:t>
        <a:bodyPr/>
        <a:lstStyle/>
        <a:p>
          <a:endParaRPr lang="sv-SE"/>
        </a:p>
      </dgm:t>
    </dgm:pt>
    <dgm:pt modelId="{0681C3AA-E250-45C5-9F6C-5ECF5DA09678}" type="sibTrans" cxnId="{2AEA6A48-93A3-44FB-BBB8-B8C4F9FC9DC8}">
      <dgm:prSet/>
      <dgm:spPr>
        <a:xfrm>
          <a:off x="754926" y="517210"/>
          <a:ext cx="145494" cy="170201"/>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D95AA038-7CF5-48EE-ABEE-881DB8747515}">
      <dgm:prSet phldrT="[Text]"/>
      <dgm:spPr>
        <a:xfrm>
          <a:off x="960815" y="193750"/>
          <a:ext cx="686296" cy="817122"/>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Polar Encoder + Rate-matching</a:t>
          </a:r>
        </a:p>
      </dgm:t>
    </dgm:pt>
    <dgm:pt modelId="{5C54AE81-C6B2-4319-9224-B89FED2DE061}" type="parTrans" cxnId="{D0DC63DB-61DE-435E-B6A9-C648123FD1FA}">
      <dgm:prSet/>
      <dgm:spPr/>
      <dgm:t>
        <a:bodyPr/>
        <a:lstStyle/>
        <a:p>
          <a:endParaRPr lang="sv-SE"/>
        </a:p>
      </dgm:t>
    </dgm:pt>
    <dgm:pt modelId="{8BA4029F-80F9-46AE-A389-1F7093625821}" type="sibTrans" cxnId="{D0DC63DB-61DE-435E-B6A9-C648123FD1FA}">
      <dgm:prSet/>
      <dgm:spPr>
        <a:xfrm>
          <a:off x="1715742" y="517210"/>
          <a:ext cx="145494" cy="170201"/>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795542EE-76E8-4477-B9F8-3C8526808969}">
      <dgm:prSet phldrT="[Text]"/>
      <dgm:spPr>
        <a:xfrm>
          <a:off x="1921631" y="193750"/>
          <a:ext cx="686296" cy="817122"/>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QPSK Modulation</a:t>
          </a:r>
        </a:p>
      </dgm:t>
    </dgm:pt>
    <dgm:pt modelId="{F8D03C04-49B8-4C3E-8E48-1C7DEBA8D47A}" type="parTrans" cxnId="{784AB302-718B-4F0E-8C19-2A6F7442B8B6}">
      <dgm:prSet/>
      <dgm:spPr/>
      <dgm:t>
        <a:bodyPr/>
        <a:lstStyle/>
        <a:p>
          <a:endParaRPr lang="sv-SE"/>
        </a:p>
      </dgm:t>
    </dgm:pt>
    <dgm:pt modelId="{649DCC5C-1CA5-4BF0-9403-E8DE7E1B52DA}" type="sibTrans" cxnId="{784AB302-718B-4F0E-8C19-2A6F7442B8B6}">
      <dgm:prSet/>
      <dgm:spPr>
        <a:xfrm>
          <a:off x="2676558" y="517210"/>
          <a:ext cx="145494" cy="170201"/>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60872E81-B689-4770-A9EC-A8DA70696AA3}">
      <dgm:prSet phldrT="[Text]"/>
      <dgm:spPr>
        <a:xfrm>
          <a:off x="2882447" y="193750"/>
          <a:ext cx="686296" cy="817122"/>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Time-Frequency mapping</a:t>
          </a:r>
        </a:p>
      </dgm:t>
    </dgm:pt>
    <dgm:pt modelId="{289F7233-6C68-45F8-AF27-6AF8362C78E6}" type="parTrans" cxnId="{63AA5E03-64B7-4383-8686-14EA3CF7A57C}">
      <dgm:prSet/>
      <dgm:spPr/>
      <dgm:t>
        <a:bodyPr/>
        <a:lstStyle/>
        <a:p>
          <a:endParaRPr lang="sv-SE"/>
        </a:p>
      </dgm:t>
    </dgm:pt>
    <dgm:pt modelId="{AA157BC7-2B65-4511-A3E3-1FCF559CF3F7}" type="sibTrans" cxnId="{63AA5E03-64B7-4383-8686-14EA3CF7A57C}">
      <dgm:prSet/>
      <dgm:spPr>
        <a:xfrm>
          <a:off x="3637374" y="517210"/>
          <a:ext cx="145494" cy="170201"/>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4775AFCF-6DB9-4867-8B88-B6BA5B0943EB}">
      <dgm:prSet phldrT="[Text]"/>
      <dgm:spPr>
        <a:xfrm>
          <a:off x="3843263" y="193750"/>
          <a:ext cx="686296" cy="817122"/>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IFFT and CP Addition</a:t>
          </a:r>
        </a:p>
      </dgm:t>
    </dgm:pt>
    <dgm:pt modelId="{E293AA05-8BB2-4AFC-BCED-856233B24FEB}" type="parTrans" cxnId="{947587DB-F20A-461C-A6F0-5F0F018C620D}">
      <dgm:prSet/>
      <dgm:spPr/>
      <dgm:t>
        <a:bodyPr/>
        <a:lstStyle/>
        <a:p>
          <a:endParaRPr lang="sv-SE"/>
        </a:p>
      </dgm:t>
    </dgm:pt>
    <dgm:pt modelId="{9ADB5A31-9111-419F-993E-84F60163A0B4}" type="sibTrans" cxnId="{947587DB-F20A-461C-A6F0-5F0F018C620D}">
      <dgm:prSet/>
      <dgm:spPr>
        <a:xfrm>
          <a:off x="4598189" y="517210"/>
          <a:ext cx="145494" cy="170201"/>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32DD5FEA-DCD1-4E3F-B3A1-0E9387F4873F}">
      <dgm:prSet/>
      <dgm:spPr/>
      <dgm:t>
        <a:bodyPr/>
        <a:lstStyle/>
        <a:p>
          <a:r>
            <a:rPr lang="en-US"/>
            <a:t>PDCCH Scrambling</a:t>
          </a:r>
        </a:p>
      </dgm:t>
    </dgm:pt>
    <dgm:pt modelId="{AD03CDA6-06B8-4286-916F-4AC6C83158AB}" type="parTrans" cxnId="{D8785C1A-5A84-4E14-8D97-7C5FC81A5046}">
      <dgm:prSet/>
      <dgm:spPr/>
      <dgm:t>
        <a:bodyPr/>
        <a:lstStyle/>
        <a:p>
          <a:endParaRPr lang="en-US"/>
        </a:p>
      </dgm:t>
    </dgm:pt>
    <dgm:pt modelId="{BE80C2B3-D92C-4AED-8D90-17F4573EF509}" type="sibTrans" cxnId="{D8785C1A-5A84-4E14-8D97-7C5FC81A5046}">
      <dgm:prSet/>
      <dgm:spPr/>
      <dgm:t>
        <a:bodyPr/>
        <a:lstStyle/>
        <a:p>
          <a:endParaRPr lang="en-US"/>
        </a:p>
      </dgm:t>
    </dgm:pt>
    <dgm:pt modelId="{6FA09C0F-4B73-4A02-939E-F6CFE5F67477}">
      <dgm:prSet/>
      <dgm:spPr/>
      <dgm:t>
        <a:bodyPr/>
        <a:lstStyle/>
        <a:p>
          <a:r>
            <a:rPr lang="sv-SE">
              <a:solidFill>
                <a:sysClr val="window" lastClr="FFFFFF"/>
              </a:solidFill>
              <a:latin typeface="Calibri" panose="020F0502020204030204"/>
              <a:ea typeface="+mn-ea"/>
              <a:cs typeface="+mn-cs"/>
            </a:rPr>
            <a:t>D-CRC + RNTI masking +</a:t>
          </a:r>
          <a:endParaRPr lang="en-US"/>
        </a:p>
      </dgm:t>
    </dgm:pt>
    <dgm:pt modelId="{6910B395-9D57-4F48-A555-1A32AD8116AC}" type="parTrans" cxnId="{63A4005A-AF6C-4FAA-8379-E3261390FC1E}">
      <dgm:prSet/>
      <dgm:spPr/>
      <dgm:t>
        <a:bodyPr/>
        <a:lstStyle/>
        <a:p>
          <a:endParaRPr lang="en-US"/>
        </a:p>
      </dgm:t>
    </dgm:pt>
    <dgm:pt modelId="{FB052DEC-D6B3-4BDF-B4E6-28DC5694E6E3}" type="sibTrans" cxnId="{63A4005A-AF6C-4FAA-8379-E3261390FC1E}">
      <dgm:prSet/>
      <dgm:spPr/>
      <dgm:t>
        <a:bodyPr/>
        <a:lstStyle/>
        <a:p>
          <a:endParaRPr lang="en-US"/>
        </a:p>
      </dgm:t>
    </dgm:pt>
    <dgm:pt modelId="{7696B597-DC65-4792-A285-775C921C1174}" type="pres">
      <dgm:prSet presAssocID="{EF714408-65ED-4CC5-B38A-7B7B25F29577}" presName="Name0" presStyleCnt="0">
        <dgm:presLayoutVars>
          <dgm:dir/>
          <dgm:resizeHandles val="exact"/>
        </dgm:presLayoutVars>
      </dgm:prSet>
      <dgm:spPr/>
    </dgm:pt>
    <dgm:pt modelId="{8ABDD8C5-4039-4ED1-897E-887CC3CF5425}" type="pres">
      <dgm:prSet presAssocID="{22EE5292-6B39-4190-B856-9F0A66D922D3}" presName="node" presStyleLbl="node1" presStyleIdx="0" presStyleCnt="7">
        <dgm:presLayoutVars>
          <dgm:bulletEnabled val="1"/>
        </dgm:presLayoutVars>
      </dgm:prSet>
      <dgm:spPr/>
    </dgm:pt>
    <dgm:pt modelId="{60D3BC44-E7AF-4A2E-9EB5-ADD8169BF3A1}" type="pres">
      <dgm:prSet presAssocID="{0681C3AA-E250-45C5-9F6C-5ECF5DA09678}" presName="sibTrans" presStyleLbl="sibTrans2D1" presStyleIdx="0" presStyleCnt="6"/>
      <dgm:spPr/>
    </dgm:pt>
    <dgm:pt modelId="{24370CA9-F5E2-4604-AB57-86F90EA52FED}" type="pres">
      <dgm:prSet presAssocID="{0681C3AA-E250-45C5-9F6C-5ECF5DA09678}" presName="connectorText" presStyleLbl="sibTrans2D1" presStyleIdx="0" presStyleCnt="6"/>
      <dgm:spPr/>
    </dgm:pt>
    <dgm:pt modelId="{152635D1-9CDD-415C-BBFF-673D5F772049}" type="pres">
      <dgm:prSet presAssocID="{6FA09C0F-4B73-4A02-939E-F6CFE5F67477}" presName="node" presStyleLbl="node1" presStyleIdx="1" presStyleCnt="7">
        <dgm:presLayoutVars>
          <dgm:bulletEnabled val="1"/>
        </dgm:presLayoutVars>
      </dgm:prSet>
      <dgm:spPr/>
    </dgm:pt>
    <dgm:pt modelId="{4AA7BEA3-93B6-4DC0-AEC5-A4EBB42C54E0}" type="pres">
      <dgm:prSet presAssocID="{FB052DEC-D6B3-4BDF-B4E6-28DC5694E6E3}" presName="sibTrans" presStyleLbl="sibTrans2D1" presStyleIdx="1" presStyleCnt="6"/>
      <dgm:spPr/>
    </dgm:pt>
    <dgm:pt modelId="{60DAA0FE-D302-4EB2-A0BC-02E6574DF83B}" type="pres">
      <dgm:prSet presAssocID="{FB052DEC-D6B3-4BDF-B4E6-28DC5694E6E3}" presName="connectorText" presStyleLbl="sibTrans2D1" presStyleIdx="1" presStyleCnt="6"/>
      <dgm:spPr/>
    </dgm:pt>
    <dgm:pt modelId="{378BF04F-3C2E-4EA7-A62B-50604A259B67}" type="pres">
      <dgm:prSet presAssocID="{D95AA038-7CF5-48EE-ABEE-881DB8747515}" presName="node" presStyleLbl="node1" presStyleIdx="2" presStyleCnt="7">
        <dgm:presLayoutVars>
          <dgm:bulletEnabled val="1"/>
        </dgm:presLayoutVars>
      </dgm:prSet>
      <dgm:spPr/>
    </dgm:pt>
    <dgm:pt modelId="{77B56BB2-D277-4A5D-A377-EC5A07EB0EC3}" type="pres">
      <dgm:prSet presAssocID="{8BA4029F-80F9-46AE-A389-1F7093625821}" presName="sibTrans" presStyleLbl="sibTrans2D1" presStyleIdx="2" presStyleCnt="6"/>
      <dgm:spPr/>
    </dgm:pt>
    <dgm:pt modelId="{AABC9F5E-C8A5-49E4-A604-CDC805D78D22}" type="pres">
      <dgm:prSet presAssocID="{8BA4029F-80F9-46AE-A389-1F7093625821}" presName="connectorText" presStyleLbl="sibTrans2D1" presStyleIdx="2" presStyleCnt="6"/>
      <dgm:spPr/>
    </dgm:pt>
    <dgm:pt modelId="{262B586D-1CA9-44DA-BEBE-91D41F8D4C91}" type="pres">
      <dgm:prSet presAssocID="{32DD5FEA-DCD1-4E3F-B3A1-0E9387F4873F}" presName="node" presStyleLbl="node1" presStyleIdx="3" presStyleCnt="7">
        <dgm:presLayoutVars>
          <dgm:bulletEnabled val="1"/>
        </dgm:presLayoutVars>
      </dgm:prSet>
      <dgm:spPr/>
    </dgm:pt>
    <dgm:pt modelId="{F260F764-6366-4566-B11C-41F2683AB6EE}" type="pres">
      <dgm:prSet presAssocID="{BE80C2B3-D92C-4AED-8D90-17F4573EF509}" presName="sibTrans" presStyleLbl="sibTrans2D1" presStyleIdx="3" presStyleCnt="6"/>
      <dgm:spPr/>
    </dgm:pt>
    <dgm:pt modelId="{2F3813E6-5683-4C8B-8B91-1B9DFAFA256E}" type="pres">
      <dgm:prSet presAssocID="{BE80C2B3-D92C-4AED-8D90-17F4573EF509}" presName="connectorText" presStyleLbl="sibTrans2D1" presStyleIdx="3" presStyleCnt="6"/>
      <dgm:spPr/>
    </dgm:pt>
    <dgm:pt modelId="{EFCB345D-1630-4B2B-A4E0-3BA509C9DE7F}" type="pres">
      <dgm:prSet presAssocID="{795542EE-76E8-4477-B9F8-3C8526808969}" presName="node" presStyleLbl="node1" presStyleIdx="4" presStyleCnt="7">
        <dgm:presLayoutVars>
          <dgm:bulletEnabled val="1"/>
        </dgm:presLayoutVars>
      </dgm:prSet>
      <dgm:spPr/>
    </dgm:pt>
    <dgm:pt modelId="{6961847D-920C-4909-B559-54B1F47303DB}" type="pres">
      <dgm:prSet presAssocID="{649DCC5C-1CA5-4BF0-9403-E8DE7E1B52DA}" presName="sibTrans" presStyleLbl="sibTrans2D1" presStyleIdx="4" presStyleCnt="6"/>
      <dgm:spPr/>
    </dgm:pt>
    <dgm:pt modelId="{EF9814FE-703D-4DEC-A6CA-C91A887C6FD3}" type="pres">
      <dgm:prSet presAssocID="{649DCC5C-1CA5-4BF0-9403-E8DE7E1B52DA}" presName="connectorText" presStyleLbl="sibTrans2D1" presStyleIdx="4" presStyleCnt="6"/>
      <dgm:spPr/>
    </dgm:pt>
    <dgm:pt modelId="{E2993FAA-0770-4F8D-85B9-D9A9AB2050CA}" type="pres">
      <dgm:prSet presAssocID="{60872E81-B689-4770-A9EC-A8DA70696AA3}" presName="node" presStyleLbl="node1" presStyleIdx="5" presStyleCnt="7">
        <dgm:presLayoutVars>
          <dgm:bulletEnabled val="1"/>
        </dgm:presLayoutVars>
      </dgm:prSet>
      <dgm:spPr/>
    </dgm:pt>
    <dgm:pt modelId="{EC551934-8A29-4D09-8928-335F9E3A889C}" type="pres">
      <dgm:prSet presAssocID="{AA157BC7-2B65-4511-A3E3-1FCF559CF3F7}" presName="sibTrans" presStyleLbl="sibTrans2D1" presStyleIdx="5" presStyleCnt="6"/>
      <dgm:spPr/>
    </dgm:pt>
    <dgm:pt modelId="{5DADEE37-90B3-46EE-AB30-B9C621401E76}" type="pres">
      <dgm:prSet presAssocID="{AA157BC7-2B65-4511-A3E3-1FCF559CF3F7}" presName="connectorText" presStyleLbl="sibTrans2D1" presStyleIdx="5" presStyleCnt="6"/>
      <dgm:spPr/>
    </dgm:pt>
    <dgm:pt modelId="{9318FAB4-D5D8-4DE1-A27D-1E56ECA2886E}" type="pres">
      <dgm:prSet presAssocID="{4775AFCF-6DB9-4867-8B88-B6BA5B0943EB}" presName="node" presStyleLbl="node1" presStyleIdx="6" presStyleCnt="7">
        <dgm:presLayoutVars>
          <dgm:bulletEnabled val="1"/>
        </dgm:presLayoutVars>
      </dgm:prSet>
      <dgm:spPr/>
    </dgm:pt>
  </dgm:ptLst>
  <dgm:cxnLst>
    <dgm:cxn modelId="{784AB302-718B-4F0E-8C19-2A6F7442B8B6}" srcId="{EF714408-65ED-4CC5-B38A-7B7B25F29577}" destId="{795542EE-76E8-4477-B9F8-3C8526808969}" srcOrd="4" destOrd="0" parTransId="{F8D03C04-49B8-4C3E-8E48-1C7DEBA8D47A}" sibTransId="{649DCC5C-1CA5-4BF0-9403-E8DE7E1B52DA}"/>
    <dgm:cxn modelId="{63AA5E03-64B7-4383-8686-14EA3CF7A57C}" srcId="{EF714408-65ED-4CC5-B38A-7B7B25F29577}" destId="{60872E81-B689-4770-A9EC-A8DA70696AA3}" srcOrd="5" destOrd="0" parTransId="{289F7233-6C68-45F8-AF27-6AF8362C78E6}" sibTransId="{AA157BC7-2B65-4511-A3E3-1FCF559CF3F7}"/>
    <dgm:cxn modelId="{10088914-F41F-440C-B47E-E742E9F0350E}" type="presOf" srcId="{AA157BC7-2B65-4511-A3E3-1FCF559CF3F7}" destId="{EC551934-8A29-4D09-8928-335F9E3A889C}" srcOrd="0" destOrd="0" presId="urn:microsoft.com/office/officeart/2005/8/layout/process1"/>
    <dgm:cxn modelId="{2E0CC815-A2BC-46E9-923E-B1FE1C49B7B9}" type="presOf" srcId="{8BA4029F-80F9-46AE-A389-1F7093625821}" destId="{AABC9F5E-C8A5-49E4-A604-CDC805D78D22}" srcOrd="1" destOrd="0" presId="urn:microsoft.com/office/officeart/2005/8/layout/process1"/>
    <dgm:cxn modelId="{D8785C1A-5A84-4E14-8D97-7C5FC81A5046}" srcId="{EF714408-65ED-4CC5-B38A-7B7B25F29577}" destId="{32DD5FEA-DCD1-4E3F-B3A1-0E9387F4873F}" srcOrd="3" destOrd="0" parTransId="{AD03CDA6-06B8-4286-916F-4AC6C83158AB}" sibTransId="{BE80C2B3-D92C-4AED-8D90-17F4573EF509}"/>
    <dgm:cxn modelId="{9706261B-7BD8-45DD-9BC1-36C7C113449A}" type="presOf" srcId="{AA157BC7-2B65-4511-A3E3-1FCF559CF3F7}" destId="{5DADEE37-90B3-46EE-AB30-B9C621401E76}" srcOrd="1" destOrd="0" presId="urn:microsoft.com/office/officeart/2005/8/layout/process1"/>
    <dgm:cxn modelId="{EB360B2F-3F2C-4410-90B5-6CF8AF84DF83}" type="presOf" srcId="{8BA4029F-80F9-46AE-A389-1F7093625821}" destId="{77B56BB2-D277-4A5D-A377-EC5A07EB0EC3}" srcOrd="0" destOrd="0" presId="urn:microsoft.com/office/officeart/2005/8/layout/process1"/>
    <dgm:cxn modelId="{7AC48340-4C6B-4BF2-A13B-144D9A31B355}" type="presOf" srcId="{FB052DEC-D6B3-4BDF-B4E6-28DC5694E6E3}" destId="{60DAA0FE-D302-4EB2-A0BC-02E6574DF83B}" srcOrd="1" destOrd="0" presId="urn:microsoft.com/office/officeart/2005/8/layout/process1"/>
    <dgm:cxn modelId="{28D26164-7313-462E-8B8E-CE1F0C80037C}" type="presOf" srcId="{BE80C2B3-D92C-4AED-8D90-17F4573EF509}" destId="{2F3813E6-5683-4C8B-8B91-1B9DFAFA256E}" srcOrd="1" destOrd="0" presId="urn:microsoft.com/office/officeart/2005/8/layout/process1"/>
    <dgm:cxn modelId="{2AEA6A48-93A3-44FB-BBB8-B8C4F9FC9DC8}" srcId="{EF714408-65ED-4CC5-B38A-7B7B25F29577}" destId="{22EE5292-6B39-4190-B856-9F0A66D922D3}" srcOrd="0" destOrd="0" parTransId="{FA13FD3A-4239-44F1-B0F9-E5F534C95FD1}" sibTransId="{0681C3AA-E250-45C5-9F6C-5ECF5DA09678}"/>
    <dgm:cxn modelId="{9AF60C4D-2703-4CFD-9B61-F2ECDC1E9165}" type="presOf" srcId="{0681C3AA-E250-45C5-9F6C-5ECF5DA09678}" destId="{24370CA9-F5E2-4604-AB57-86F90EA52FED}" srcOrd="1" destOrd="0" presId="urn:microsoft.com/office/officeart/2005/8/layout/process1"/>
    <dgm:cxn modelId="{63A4005A-AF6C-4FAA-8379-E3261390FC1E}" srcId="{EF714408-65ED-4CC5-B38A-7B7B25F29577}" destId="{6FA09C0F-4B73-4A02-939E-F6CFE5F67477}" srcOrd="1" destOrd="0" parTransId="{6910B395-9D57-4F48-A555-1A32AD8116AC}" sibTransId="{FB052DEC-D6B3-4BDF-B4E6-28DC5694E6E3}"/>
    <dgm:cxn modelId="{8DBCC37F-6473-4349-8F7C-98B86A27244F}" type="presOf" srcId="{649DCC5C-1CA5-4BF0-9403-E8DE7E1B52DA}" destId="{EF9814FE-703D-4DEC-A6CA-C91A887C6FD3}" srcOrd="1" destOrd="0" presId="urn:microsoft.com/office/officeart/2005/8/layout/process1"/>
    <dgm:cxn modelId="{9F291F86-FD24-4C88-9A1D-65A59D22A03C}" type="presOf" srcId="{EF714408-65ED-4CC5-B38A-7B7B25F29577}" destId="{7696B597-DC65-4792-A285-775C921C1174}" srcOrd="0" destOrd="0" presId="urn:microsoft.com/office/officeart/2005/8/layout/process1"/>
    <dgm:cxn modelId="{251F1088-0D8D-475B-A488-121DBE89CDEE}" type="presOf" srcId="{6FA09C0F-4B73-4A02-939E-F6CFE5F67477}" destId="{152635D1-9CDD-415C-BBFF-673D5F772049}" srcOrd="0" destOrd="0" presId="urn:microsoft.com/office/officeart/2005/8/layout/process1"/>
    <dgm:cxn modelId="{235E3589-A61E-459B-8D91-AD0F4B8322BA}" type="presOf" srcId="{4775AFCF-6DB9-4867-8B88-B6BA5B0943EB}" destId="{9318FAB4-D5D8-4DE1-A27D-1E56ECA2886E}" srcOrd="0" destOrd="0" presId="urn:microsoft.com/office/officeart/2005/8/layout/process1"/>
    <dgm:cxn modelId="{58DAC598-9C1F-41E6-A4DC-FA6502F941F4}" type="presOf" srcId="{BE80C2B3-D92C-4AED-8D90-17F4573EF509}" destId="{F260F764-6366-4566-B11C-41F2683AB6EE}" srcOrd="0" destOrd="0" presId="urn:microsoft.com/office/officeart/2005/8/layout/process1"/>
    <dgm:cxn modelId="{886C80A5-A57D-4E71-9E26-2DB3911E1787}" type="presOf" srcId="{D95AA038-7CF5-48EE-ABEE-881DB8747515}" destId="{378BF04F-3C2E-4EA7-A62B-50604A259B67}" srcOrd="0" destOrd="0" presId="urn:microsoft.com/office/officeart/2005/8/layout/process1"/>
    <dgm:cxn modelId="{B634BBA6-1CCD-4460-BE48-C5EFABD569D4}" type="presOf" srcId="{32DD5FEA-DCD1-4E3F-B3A1-0E9387F4873F}" destId="{262B586D-1CA9-44DA-BEBE-91D41F8D4C91}" srcOrd="0" destOrd="0" presId="urn:microsoft.com/office/officeart/2005/8/layout/process1"/>
    <dgm:cxn modelId="{838FC8C6-CF6A-4B7D-B164-D9DC8436221F}" type="presOf" srcId="{0681C3AA-E250-45C5-9F6C-5ECF5DA09678}" destId="{60D3BC44-E7AF-4A2E-9EB5-ADD8169BF3A1}" srcOrd="0" destOrd="0" presId="urn:microsoft.com/office/officeart/2005/8/layout/process1"/>
    <dgm:cxn modelId="{3FDF0FD2-CFFF-444F-B0FA-87717A1DA387}" type="presOf" srcId="{60872E81-B689-4770-A9EC-A8DA70696AA3}" destId="{E2993FAA-0770-4F8D-85B9-D9A9AB2050CA}" srcOrd="0" destOrd="0" presId="urn:microsoft.com/office/officeart/2005/8/layout/process1"/>
    <dgm:cxn modelId="{4760B1D6-D874-4661-AF24-5EE714C89AC7}" type="presOf" srcId="{FB052DEC-D6B3-4BDF-B4E6-28DC5694E6E3}" destId="{4AA7BEA3-93B6-4DC0-AEC5-A4EBB42C54E0}" srcOrd="0" destOrd="0" presId="urn:microsoft.com/office/officeart/2005/8/layout/process1"/>
    <dgm:cxn modelId="{FB7C1DD8-C9C2-464D-9DE7-2599BFAA4D91}" type="presOf" srcId="{649DCC5C-1CA5-4BF0-9403-E8DE7E1B52DA}" destId="{6961847D-920C-4909-B559-54B1F47303DB}" srcOrd="0" destOrd="0" presId="urn:microsoft.com/office/officeart/2005/8/layout/process1"/>
    <dgm:cxn modelId="{D0DC63DB-61DE-435E-B6A9-C648123FD1FA}" srcId="{EF714408-65ED-4CC5-B38A-7B7B25F29577}" destId="{D95AA038-7CF5-48EE-ABEE-881DB8747515}" srcOrd="2" destOrd="0" parTransId="{5C54AE81-C6B2-4319-9224-B89FED2DE061}" sibTransId="{8BA4029F-80F9-46AE-A389-1F7093625821}"/>
    <dgm:cxn modelId="{947587DB-F20A-461C-A6F0-5F0F018C620D}" srcId="{EF714408-65ED-4CC5-B38A-7B7B25F29577}" destId="{4775AFCF-6DB9-4867-8B88-B6BA5B0943EB}" srcOrd="6" destOrd="0" parTransId="{E293AA05-8BB2-4AFC-BCED-856233B24FEB}" sibTransId="{9ADB5A31-9111-419F-993E-84F60163A0B4}"/>
    <dgm:cxn modelId="{5E8300EB-3C18-4C78-A36F-1CA2BF316B23}" type="presOf" srcId="{795542EE-76E8-4477-B9F8-3C8526808969}" destId="{EFCB345D-1630-4B2B-A4E0-3BA509C9DE7F}" srcOrd="0" destOrd="0" presId="urn:microsoft.com/office/officeart/2005/8/layout/process1"/>
    <dgm:cxn modelId="{4D915CF4-0A70-4946-B241-019F21B66BAA}" type="presOf" srcId="{22EE5292-6B39-4190-B856-9F0A66D922D3}" destId="{8ABDD8C5-4039-4ED1-897E-887CC3CF5425}" srcOrd="0" destOrd="0" presId="urn:microsoft.com/office/officeart/2005/8/layout/process1"/>
    <dgm:cxn modelId="{43BDAC57-CE75-4155-8447-09AD2296F837}" type="presParOf" srcId="{7696B597-DC65-4792-A285-775C921C1174}" destId="{8ABDD8C5-4039-4ED1-897E-887CC3CF5425}" srcOrd="0" destOrd="0" presId="urn:microsoft.com/office/officeart/2005/8/layout/process1"/>
    <dgm:cxn modelId="{718477F0-148D-4006-819B-D47AA6ECE0D5}" type="presParOf" srcId="{7696B597-DC65-4792-A285-775C921C1174}" destId="{60D3BC44-E7AF-4A2E-9EB5-ADD8169BF3A1}" srcOrd="1" destOrd="0" presId="urn:microsoft.com/office/officeart/2005/8/layout/process1"/>
    <dgm:cxn modelId="{90EBEC79-BF26-4112-947F-EE5FD5079367}" type="presParOf" srcId="{60D3BC44-E7AF-4A2E-9EB5-ADD8169BF3A1}" destId="{24370CA9-F5E2-4604-AB57-86F90EA52FED}" srcOrd="0" destOrd="0" presId="urn:microsoft.com/office/officeart/2005/8/layout/process1"/>
    <dgm:cxn modelId="{ADCED2D6-DE2C-46CB-9D9B-A35B5D9FC555}" type="presParOf" srcId="{7696B597-DC65-4792-A285-775C921C1174}" destId="{152635D1-9CDD-415C-BBFF-673D5F772049}" srcOrd="2" destOrd="0" presId="urn:microsoft.com/office/officeart/2005/8/layout/process1"/>
    <dgm:cxn modelId="{99F471C7-94DB-4424-B61C-046143F2A5B5}" type="presParOf" srcId="{7696B597-DC65-4792-A285-775C921C1174}" destId="{4AA7BEA3-93B6-4DC0-AEC5-A4EBB42C54E0}" srcOrd="3" destOrd="0" presId="urn:microsoft.com/office/officeart/2005/8/layout/process1"/>
    <dgm:cxn modelId="{2D4CEE83-8D1A-419F-B630-05294342CD7A}" type="presParOf" srcId="{4AA7BEA3-93B6-4DC0-AEC5-A4EBB42C54E0}" destId="{60DAA0FE-D302-4EB2-A0BC-02E6574DF83B}" srcOrd="0" destOrd="0" presId="urn:microsoft.com/office/officeart/2005/8/layout/process1"/>
    <dgm:cxn modelId="{CF000E81-A0B5-49AF-A1CB-B1B61B083C9A}" type="presParOf" srcId="{7696B597-DC65-4792-A285-775C921C1174}" destId="{378BF04F-3C2E-4EA7-A62B-50604A259B67}" srcOrd="4" destOrd="0" presId="urn:microsoft.com/office/officeart/2005/8/layout/process1"/>
    <dgm:cxn modelId="{5ACAA195-9591-4785-A6D4-B5F714868DC4}" type="presParOf" srcId="{7696B597-DC65-4792-A285-775C921C1174}" destId="{77B56BB2-D277-4A5D-A377-EC5A07EB0EC3}" srcOrd="5" destOrd="0" presId="urn:microsoft.com/office/officeart/2005/8/layout/process1"/>
    <dgm:cxn modelId="{0ABA22CE-1F26-4852-8F8B-8FEF4895575A}" type="presParOf" srcId="{77B56BB2-D277-4A5D-A377-EC5A07EB0EC3}" destId="{AABC9F5E-C8A5-49E4-A604-CDC805D78D22}" srcOrd="0" destOrd="0" presId="urn:microsoft.com/office/officeart/2005/8/layout/process1"/>
    <dgm:cxn modelId="{0F9FB172-999C-4DE2-A759-8DDE7D95160C}" type="presParOf" srcId="{7696B597-DC65-4792-A285-775C921C1174}" destId="{262B586D-1CA9-44DA-BEBE-91D41F8D4C91}" srcOrd="6" destOrd="0" presId="urn:microsoft.com/office/officeart/2005/8/layout/process1"/>
    <dgm:cxn modelId="{88558EA8-44B5-4789-AA51-EBA8010C1EBD}" type="presParOf" srcId="{7696B597-DC65-4792-A285-775C921C1174}" destId="{F260F764-6366-4566-B11C-41F2683AB6EE}" srcOrd="7" destOrd="0" presId="urn:microsoft.com/office/officeart/2005/8/layout/process1"/>
    <dgm:cxn modelId="{FE282CC5-E6FA-4783-ABCE-296D3E507C00}" type="presParOf" srcId="{F260F764-6366-4566-B11C-41F2683AB6EE}" destId="{2F3813E6-5683-4C8B-8B91-1B9DFAFA256E}" srcOrd="0" destOrd="0" presId="urn:microsoft.com/office/officeart/2005/8/layout/process1"/>
    <dgm:cxn modelId="{EDA5B7EF-5C12-48BF-A60F-DEAC46DEC282}" type="presParOf" srcId="{7696B597-DC65-4792-A285-775C921C1174}" destId="{EFCB345D-1630-4B2B-A4E0-3BA509C9DE7F}" srcOrd="8" destOrd="0" presId="urn:microsoft.com/office/officeart/2005/8/layout/process1"/>
    <dgm:cxn modelId="{B95F20F1-0619-4677-8CF4-40921908C4D9}" type="presParOf" srcId="{7696B597-DC65-4792-A285-775C921C1174}" destId="{6961847D-920C-4909-B559-54B1F47303DB}" srcOrd="9" destOrd="0" presId="urn:microsoft.com/office/officeart/2005/8/layout/process1"/>
    <dgm:cxn modelId="{9BABC22C-1F89-4233-8304-56E8352E4223}" type="presParOf" srcId="{6961847D-920C-4909-B559-54B1F47303DB}" destId="{EF9814FE-703D-4DEC-A6CA-C91A887C6FD3}" srcOrd="0" destOrd="0" presId="urn:microsoft.com/office/officeart/2005/8/layout/process1"/>
    <dgm:cxn modelId="{8B9C306E-7788-482B-A304-3107D5A64784}" type="presParOf" srcId="{7696B597-DC65-4792-A285-775C921C1174}" destId="{E2993FAA-0770-4F8D-85B9-D9A9AB2050CA}" srcOrd="10" destOrd="0" presId="urn:microsoft.com/office/officeart/2005/8/layout/process1"/>
    <dgm:cxn modelId="{8A7DB64A-DCB9-45A5-B5D8-AC88D605A4B1}" type="presParOf" srcId="{7696B597-DC65-4792-A285-775C921C1174}" destId="{EC551934-8A29-4D09-8928-335F9E3A889C}" srcOrd="11" destOrd="0" presId="urn:microsoft.com/office/officeart/2005/8/layout/process1"/>
    <dgm:cxn modelId="{F8373743-018F-40A5-AEE5-7977127FC919}" type="presParOf" srcId="{EC551934-8A29-4D09-8928-335F9E3A889C}" destId="{5DADEE37-90B3-46EE-AB30-B9C621401E76}" srcOrd="0" destOrd="0" presId="urn:microsoft.com/office/officeart/2005/8/layout/process1"/>
    <dgm:cxn modelId="{A9593780-5254-4CBC-AFC0-78781205F588}" type="presParOf" srcId="{7696B597-DC65-4792-A285-775C921C1174}" destId="{9318FAB4-D5D8-4DE1-A27D-1E56ECA2886E}" srcOrd="12" destOrd="0" presId="urn:microsoft.com/office/officeart/2005/8/layout/process1"/>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F714408-65ED-4CC5-B38A-7B7B25F29577}" type="doc">
      <dgm:prSet loTypeId="urn:microsoft.com/office/officeart/2005/8/layout/process1" loCatId="process" qsTypeId="urn:microsoft.com/office/officeart/2005/8/quickstyle/simple1" qsCatId="simple" csTypeId="urn:microsoft.com/office/officeart/2005/8/colors/accent1_2" csCatId="accent1" phldr="1"/>
      <dgm:spPr/>
    </dgm:pt>
    <dgm:pt modelId="{22EE5292-6B39-4190-B856-9F0A66D922D3}">
      <dgm:prSet phldrT="[Text]"/>
      <dgm:spPr>
        <a:xfrm>
          <a:off x="2680" y="197411"/>
          <a:ext cx="831062" cy="809799"/>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CP Removal and FFT</a:t>
          </a:r>
        </a:p>
      </dgm:t>
    </dgm:pt>
    <dgm:pt modelId="{FA13FD3A-4239-44F1-B0F9-E5F534C95FD1}" type="parTrans" cxnId="{2AEA6A48-93A3-44FB-BBB8-B8C4F9FC9DC8}">
      <dgm:prSet/>
      <dgm:spPr/>
      <dgm:t>
        <a:bodyPr/>
        <a:lstStyle/>
        <a:p>
          <a:endParaRPr lang="sv-SE"/>
        </a:p>
      </dgm:t>
    </dgm:pt>
    <dgm:pt modelId="{0681C3AA-E250-45C5-9F6C-5ECF5DA09678}" type="sibTrans" cxnId="{2AEA6A48-93A3-44FB-BBB8-B8C4F9FC9DC8}">
      <dgm:prSet/>
      <dgm:spPr>
        <a:xfrm>
          <a:off x="916849" y="499259"/>
          <a:ext cx="176185" cy="206103"/>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D95AA038-7CF5-48EE-ABEE-881DB8747515}">
      <dgm:prSet phldrT="[Text]"/>
      <dgm:spPr>
        <a:xfrm>
          <a:off x="1166168" y="197411"/>
          <a:ext cx="831062" cy="809799"/>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DMRS-based Channel Estimation</a:t>
          </a:r>
        </a:p>
      </dgm:t>
    </dgm:pt>
    <dgm:pt modelId="{5C54AE81-C6B2-4319-9224-B89FED2DE061}" type="parTrans" cxnId="{D0DC63DB-61DE-435E-B6A9-C648123FD1FA}">
      <dgm:prSet/>
      <dgm:spPr/>
      <dgm:t>
        <a:bodyPr/>
        <a:lstStyle/>
        <a:p>
          <a:endParaRPr lang="sv-SE"/>
        </a:p>
      </dgm:t>
    </dgm:pt>
    <dgm:pt modelId="{8BA4029F-80F9-46AE-A389-1F7093625821}" type="sibTrans" cxnId="{D0DC63DB-61DE-435E-B6A9-C648123FD1FA}">
      <dgm:prSet/>
      <dgm:spPr>
        <a:xfrm>
          <a:off x="2080337" y="499259"/>
          <a:ext cx="176185" cy="206103"/>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795542EE-76E8-4477-B9F8-3C8526808969}">
      <dgm:prSet phldrT="[Text]"/>
      <dgm:spPr>
        <a:xfrm>
          <a:off x="2329656" y="197411"/>
          <a:ext cx="831062" cy="809799"/>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Polar Decoding </a:t>
          </a:r>
        </a:p>
      </dgm:t>
    </dgm:pt>
    <dgm:pt modelId="{F8D03C04-49B8-4C3E-8E48-1C7DEBA8D47A}" type="parTrans" cxnId="{784AB302-718B-4F0E-8C19-2A6F7442B8B6}">
      <dgm:prSet/>
      <dgm:spPr/>
      <dgm:t>
        <a:bodyPr/>
        <a:lstStyle/>
        <a:p>
          <a:endParaRPr lang="sv-SE"/>
        </a:p>
      </dgm:t>
    </dgm:pt>
    <dgm:pt modelId="{649DCC5C-1CA5-4BF0-9403-E8DE7E1B52DA}" type="sibTrans" cxnId="{784AB302-718B-4F0E-8C19-2A6F7442B8B6}">
      <dgm:prSet/>
      <dgm:spPr>
        <a:xfrm>
          <a:off x="3243825" y="499259"/>
          <a:ext cx="176185" cy="206103"/>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60872E81-B689-4770-A9EC-A8DA70696AA3}">
      <dgm:prSet phldrT="[Text]"/>
      <dgm:spPr>
        <a:xfrm>
          <a:off x="3493144" y="197411"/>
          <a:ext cx="831062" cy="809799"/>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CRC success ? Yes/No</a:t>
          </a:r>
        </a:p>
      </dgm:t>
    </dgm:pt>
    <dgm:pt modelId="{289F7233-6C68-45F8-AF27-6AF8362C78E6}" type="parTrans" cxnId="{63AA5E03-64B7-4383-8686-14EA3CF7A57C}">
      <dgm:prSet/>
      <dgm:spPr/>
      <dgm:t>
        <a:bodyPr/>
        <a:lstStyle/>
        <a:p>
          <a:endParaRPr lang="sv-SE"/>
        </a:p>
      </dgm:t>
    </dgm:pt>
    <dgm:pt modelId="{AA157BC7-2B65-4511-A3E3-1FCF559CF3F7}" type="sibTrans" cxnId="{63AA5E03-64B7-4383-8686-14EA3CF7A57C}">
      <dgm:prSet/>
      <dgm:spPr>
        <a:xfrm>
          <a:off x="4407313" y="499259"/>
          <a:ext cx="176185" cy="206103"/>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4775AFCF-6DB9-4867-8B88-B6BA5B0943EB}">
      <dgm:prSet phldrT="[Text]"/>
      <dgm:spPr>
        <a:xfrm>
          <a:off x="4656632" y="197411"/>
          <a:ext cx="831062" cy="809799"/>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If Yes Wake-up </a:t>
          </a:r>
        </a:p>
        <a:p>
          <a:pPr>
            <a:buNone/>
          </a:pPr>
          <a:r>
            <a:rPr lang="sv-SE">
              <a:solidFill>
                <a:sysClr val="window" lastClr="FFFFFF"/>
              </a:solidFill>
              <a:latin typeface="Calibri" panose="020F0502020204030204"/>
              <a:ea typeface="+mn-ea"/>
              <a:cs typeface="+mn-cs"/>
            </a:rPr>
            <a:t>else Sleep</a:t>
          </a:r>
        </a:p>
      </dgm:t>
    </dgm:pt>
    <dgm:pt modelId="{E293AA05-8BB2-4AFC-BCED-856233B24FEB}" type="parTrans" cxnId="{947587DB-F20A-461C-A6F0-5F0F018C620D}">
      <dgm:prSet/>
      <dgm:spPr/>
      <dgm:t>
        <a:bodyPr/>
        <a:lstStyle/>
        <a:p>
          <a:endParaRPr lang="sv-SE"/>
        </a:p>
      </dgm:t>
    </dgm:pt>
    <dgm:pt modelId="{9ADB5A31-9111-419F-993E-84F60163A0B4}" type="sibTrans" cxnId="{947587DB-F20A-461C-A6F0-5F0F018C620D}">
      <dgm:prSet/>
      <dgm:spPr/>
      <dgm:t>
        <a:bodyPr/>
        <a:lstStyle/>
        <a:p>
          <a:endParaRPr lang="sv-SE"/>
        </a:p>
      </dgm:t>
    </dgm:pt>
    <dgm:pt modelId="{7696B597-DC65-4792-A285-775C921C1174}" type="pres">
      <dgm:prSet presAssocID="{EF714408-65ED-4CC5-B38A-7B7B25F29577}" presName="Name0" presStyleCnt="0">
        <dgm:presLayoutVars>
          <dgm:dir/>
          <dgm:resizeHandles val="exact"/>
        </dgm:presLayoutVars>
      </dgm:prSet>
      <dgm:spPr/>
    </dgm:pt>
    <dgm:pt modelId="{8ABDD8C5-4039-4ED1-897E-887CC3CF5425}" type="pres">
      <dgm:prSet presAssocID="{22EE5292-6B39-4190-B856-9F0A66D922D3}" presName="node" presStyleLbl="node1" presStyleIdx="0" presStyleCnt="5">
        <dgm:presLayoutVars>
          <dgm:bulletEnabled val="1"/>
        </dgm:presLayoutVars>
      </dgm:prSet>
      <dgm:spPr/>
    </dgm:pt>
    <dgm:pt modelId="{60D3BC44-E7AF-4A2E-9EB5-ADD8169BF3A1}" type="pres">
      <dgm:prSet presAssocID="{0681C3AA-E250-45C5-9F6C-5ECF5DA09678}" presName="sibTrans" presStyleLbl="sibTrans2D1" presStyleIdx="0" presStyleCnt="4"/>
      <dgm:spPr/>
    </dgm:pt>
    <dgm:pt modelId="{24370CA9-F5E2-4604-AB57-86F90EA52FED}" type="pres">
      <dgm:prSet presAssocID="{0681C3AA-E250-45C5-9F6C-5ECF5DA09678}" presName="connectorText" presStyleLbl="sibTrans2D1" presStyleIdx="0" presStyleCnt="4"/>
      <dgm:spPr/>
    </dgm:pt>
    <dgm:pt modelId="{378BF04F-3C2E-4EA7-A62B-50604A259B67}" type="pres">
      <dgm:prSet presAssocID="{D95AA038-7CF5-48EE-ABEE-881DB8747515}" presName="node" presStyleLbl="node1" presStyleIdx="1" presStyleCnt="5">
        <dgm:presLayoutVars>
          <dgm:bulletEnabled val="1"/>
        </dgm:presLayoutVars>
      </dgm:prSet>
      <dgm:spPr/>
    </dgm:pt>
    <dgm:pt modelId="{77B56BB2-D277-4A5D-A377-EC5A07EB0EC3}" type="pres">
      <dgm:prSet presAssocID="{8BA4029F-80F9-46AE-A389-1F7093625821}" presName="sibTrans" presStyleLbl="sibTrans2D1" presStyleIdx="1" presStyleCnt="4"/>
      <dgm:spPr/>
    </dgm:pt>
    <dgm:pt modelId="{AABC9F5E-C8A5-49E4-A604-CDC805D78D22}" type="pres">
      <dgm:prSet presAssocID="{8BA4029F-80F9-46AE-A389-1F7093625821}" presName="connectorText" presStyleLbl="sibTrans2D1" presStyleIdx="1" presStyleCnt="4"/>
      <dgm:spPr/>
    </dgm:pt>
    <dgm:pt modelId="{EFCB345D-1630-4B2B-A4E0-3BA509C9DE7F}" type="pres">
      <dgm:prSet presAssocID="{795542EE-76E8-4477-B9F8-3C8526808969}" presName="node" presStyleLbl="node1" presStyleIdx="2" presStyleCnt="5">
        <dgm:presLayoutVars>
          <dgm:bulletEnabled val="1"/>
        </dgm:presLayoutVars>
      </dgm:prSet>
      <dgm:spPr/>
    </dgm:pt>
    <dgm:pt modelId="{6961847D-920C-4909-B559-54B1F47303DB}" type="pres">
      <dgm:prSet presAssocID="{649DCC5C-1CA5-4BF0-9403-E8DE7E1B52DA}" presName="sibTrans" presStyleLbl="sibTrans2D1" presStyleIdx="2" presStyleCnt="4"/>
      <dgm:spPr/>
    </dgm:pt>
    <dgm:pt modelId="{EF9814FE-703D-4DEC-A6CA-C91A887C6FD3}" type="pres">
      <dgm:prSet presAssocID="{649DCC5C-1CA5-4BF0-9403-E8DE7E1B52DA}" presName="connectorText" presStyleLbl="sibTrans2D1" presStyleIdx="2" presStyleCnt="4"/>
      <dgm:spPr/>
    </dgm:pt>
    <dgm:pt modelId="{E2993FAA-0770-4F8D-85B9-D9A9AB2050CA}" type="pres">
      <dgm:prSet presAssocID="{60872E81-B689-4770-A9EC-A8DA70696AA3}" presName="node" presStyleLbl="node1" presStyleIdx="3" presStyleCnt="5">
        <dgm:presLayoutVars>
          <dgm:bulletEnabled val="1"/>
        </dgm:presLayoutVars>
      </dgm:prSet>
      <dgm:spPr/>
    </dgm:pt>
    <dgm:pt modelId="{EC551934-8A29-4D09-8928-335F9E3A889C}" type="pres">
      <dgm:prSet presAssocID="{AA157BC7-2B65-4511-A3E3-1FCF559CF3F7}" presName="sibTrans" presStyleLbl="sibTrans2D1" presStyleIdx="3" presStyleCnt="4"/>
      <dgm:spPr/>
    </dgm:pt>
    <dgm:pt modelId="{5DADEE37-90B3-46EE-AB30-B9C621401E76}" type="pres">
      <dgm:prSet presAssocID="{AA157BC7-2B65-4511-A3E3-1FCF559CF3F7}" presName="connectorText" presStyleLbl="sibTrans2D1" presStyleIdx="3" presStyleCnt="4"/>
      <dgm:spPr/>
    </dgm:pt>
    <dgm:pt modelId="{9318FAB4-D5D8-4DE1-A27D-1E56ECA2886E}" type="pres">
      <dgm:prSet presAssocID="{4775AFCF-6DB9-4867-8B88-B6BA5B0943EB}" presName="node" presStyleLbl="node1" presStyleIdx="4" presStyleCnt="5">
        <dgm:presLayoutVars>
          <dgm:bulletEnabled val="1"/>
        </dgm:presLayoutVars>
      </dgm:prSet>
      <dgm:spPr/>
    </dgm:pt>
  </dgm:ptLst>
  <dgm:cxnLst>
    <dgm:cxn modelId="{784AB302-718B-4F0E-8C19-2A6F7442B8B6}" srcId="{EF714408-65ED-4CC5-B38A-7B7B25F29577}" destId="{795542EE-76E8-4477-B9F8-3C8526808969}" srcOrd="2" destOrd="0" parTransId="{F8D03C04-49B8-4C3E-8E48-1C7DEBA8D47A}" sibTransId="{649DCC5C-1CA5-4BF0-9403-E8DE7E1B52DA}"/>
    <dgm:cxn modelId="{63AA5E03-64B7-4383-8686-14EA3CF7A57C}" srcId="{EF714408-65ED-4CC5-B38A-7B7B25F29577}" destId="{60872E81-B689-4770-A9EC-A8DA70696AA3}" srcOrd="3" destOrd="0" parTransId="{289F7233-6C68-45F8-AF27-6AF8362C78E6}" sibTransId="{AA157BC7-2B65-4511-A3E3-1FCF559CF3F7}"/>
    <dgm:cxn modelId="{10088914-F41F-440C-B47E-E742E9F0350E}" type="presOf" srcId="{AA157BC7-2B65-4511-A3E3-1FCF559CF3F7}" destId="{EC551934-8A29-4D09-8928-335F9E3A889C}" srcOrd="0" destOrd="0" presId="urn:microsoft.com/office/officeart/2005/8/layout/process1"/>
    <dgm:cxn modelId="{2E0CC815-A2BC-46E9-923E-B1FE1C49B7B9}" type="presOf" srcId="{8BA4029F-80F9-46AE-A389-1F7093625821}" destId="{AABC9F5E-C8A5-49E4-A604-CDC805D78D22}" srcOrd="1" destOrd="0" presId="urn:microsoft.com/office/officeart/2005/8/layout/process1"/>
    <dgm:cxn modelId="{9706261B-7BD8-45DD-9BC1-36C7C113449A}" type="presOf" srcId="{AA157BC7-2B65-4511-A3E3-1FCF559CF3F7}" destId="{5DADEE37-90B3-46EE-AB30-B9C621401E76}" srcOrd="1" destOrd="0" presId="urn:microsoft.com/office/officeart/2005/8/layout/process1"/>
    <dgm:cxn modelId="{EB360B2F-3F2C-4410-90B5-6CF8AF84DF83}" type="presOf" srcId="{8BA4029F-80F9-46AE-A389-1F7093625821}" destId="{77B56BB2-D277-4A5D-A377-EC5A07EB0EC3}" srcOrd="0" destOrd="0" presId="urn:microsoft.com/office/officeart/2005/8/layout/process1"/>
    <dgm:cxn modelId="{2AEA6A48-93A3-44FB-BBB8-B8C4F9FC9DC8}" srcId="{EF714408-65ED-4CC5-B38A-7B7B25F29577}" destId="{22EE5292-6B39-4190-B856-9F0A66D922D3}" srcOrd="0" destOrd="0" parTransId="{FA13FD3A-4239-44F1-B0F9-E5F534C95FD1}" sibTransId="{0681C3AA-E250-45C5-9F6C-5ECF5DA09678}"/>
    <dgm:cxn modelId="{9AF60C4D-2703-4CFD-9B61-F2ECDC1E9165}" type="presOf" srcId="{0681C3AA-E250-45C5-9F6C-5ECF5DA09678}" destId="{24370CA9-F5E2-4604-AB57-86F90EA52FED}" srcOrd="1" destOrd="0" presId="urn:microsoft.com/office/officeart/2005/8/layout/process1"/>
    <dgm:cxn modelId="{8DBCC37F-6473-4349-8F7C-98B86A27244F}" type="presOf" srcId="{649DCC5C-1CA5-4BF0-9403-E8DE7E1B52DA}" destId="{EF9814FE-703D-4DEC-A6CA-C91A887C6FD3}" srcOrd="1" destOrd="0" presId="urn:microsoft.com/office/officeart/2005/8/layout/process1"/>
    <dgm:cxn modelId="{9F291F86-FD24-4C88-9A1D-65A59D22A03C}" type="presOf" srcId="{EF714408-65ED-4CC5-B38A-7B7B25F29577}" destId="{7696B597-DC65-4792-A285-775C921C1174}" srcOrd="0" destOrd="0" presId="urn:microsoft.com/office/officeart/2005/8/layout/process1"/>
    <dgm:cxn modelId="{235E3589-A61E-459B-8D91-AD0F4B8322BA}" type="presOf" srcId="{4775AFCF-6DB9-4867-8B88-B6BA5B0943EB}" destId="{9318FAB4-D5D8-4DE1-A27D-1E56ECA2886E}" srcOrd="0" destOrd="0" presId="urn:microsoft.com/office/officeart/2005/8/layout/process1"/>
    <dgm:cxn modelId="{886C80A5-A57D-4E71-9E26-2DB3911E1787}" type="presOf" srcId="{D95AA038-7CF5-48EE-ABEE-881DB8747515}" destId="{378BF04F-3C2E-4EA7-A62B-50604A259B67}" srcOrd="0" destOrd="0" presId="urn:microsoft.com/office/officeart/2005/8/layout/process1"/>
    <dgm:cxn modelId="{838FC8C6-CF6A-4B7D-B164-D9DC8436221F}" type="presOf" srcId="{0681C3AA-E250-45C5-9F6C-5ECF5DA09678}" destId="{60D3BC44-E7AF-4A2E-9EB5-ADD8169BF3A1}" srcOrd="0" destOrd="0" presId="urn:microsoft.com/office/officeart/2005/8/layout/process1"/>
    <dgm:cxn modelId="{3FDF0FD2-CFFF-444F-B0FA-87717A1DA387}" type="presOf" srcId="{60872E81-B689-4770-A9EC-A8DA70696AA3}" destId="{E2993FAA-0770-4F8D-85B9-D9A9AB2050CA}" srcOrd="0" destOrd="0" presId="urn:microsoft.com/office/officeart/2005/8/layout/process1"/>
    <dgm:cxn modelId="{FB7C1DD8-C9C2-464D-9DE7-2599BFAA4D91}" type="presOf" srcId="{649DCC5C-1CA5-4BF0-9403-E8DE7E1B52DA}" destId="{6961847D-920C-4909-B559-54B1F47303DB}" srcOrd="0" destOrd="0" presId="urn:microsoft.com/office/officeart/2005/8/layout/process1"/>
    <dgm:cxn modelId="{D0DC63DB-61DE-435E-B6A9-C648123FD1FA}" srcId="{EF714408-65ED-4CC5-B38A-7B7B25F29577}" destId="{D95AA038-7CF5-48EE-ABEE-881DB8747515}" srcOrd="1" destOrd="0" parTransId="{5C54AE81-C6B2-4319-9224-B89FED2DE061}" sibTransId="{8BA4029F-80F9-46AE-A389-1F7093625821}"/>
    <dgm:cxn modelId="{947587DB-F20A-461C-A6F0-5F0F018C620D}" srcId="{EF714408-65ED-4CC5-B38A-7B7B25F29577}" destId="{4775AFCF-6DB9-4867-8B88-B6BA5B0943EB}" srcOrd="4" destOrd="0" parTransId="{E293AA05-8BB2-4AFC-BCED-856233B24FEB}" sibTransId="{9ADB5A31-9111-419F-993E-84F60163A0B4}"/>
    <dgm:cxn modelId="{5E8300EB-3C18-4C78-A36F-1CA2BF316B23}" type="presOf" srcId="{795542EE-76E8-4477-B9F8-3C8526808969}" destId="{EFCB345D-1630-4B2B-A4E0-3BA509C9DE7F}" srcOrd="0" destOrd="0" presId="urn:microsoft.com/office/officeart/2005/8/layout/process1"/>
    <dgm:cxn modelId="{4D915CF4-0A70-4946-B241-019F21B66BAA}" type="presOf" srcId="{22EE5292-6B39-4190-B856-9F0A66D922D3}" destId="{8ABDD8C5-4039-4ED1-897E-887CC3CF5425}" srcOrd="0" destOrd="0" presId="urn:microsoft.com/office/officeart/2005/8/layout/process1"/>
    <dgm:cxn modelId="{43BDAC57-CE75-4155-8447-09AD2296F837}" type="presParOf" srcId="{7696B597-DC65-4792-A285-775C921C1174}" destId="{8ABDD8C5-4039-4ED1-897E-887CC3CF5425}" srcOrd="0" destOrd="0" presId="urn:microsoft.com/office/officeart/2005/8/layout/process1"/>
    <dgm:cxn modelId="{718477F0-148D-4006-819B-D47AA6ECE0D5}" type="presParOf" srcId="{7696B597-DC65-4792-A285-775C921C1174}" destId="{60D3BC44-E7AF-4A2E-9EB5-ADD8169BF3A1}" srcOrd="1" destOrd="0" presId="urn:microsoft.com/office/officeart/2005/8/layout/process1"/>
    <dgm:cxn modelId="{90EBEC79-BF26-4112-947F-EE5FD5079367}" type="presParOf" srcId="{60D3BC44-E7AF-4A2E-9EB5-ADD8169BF3A1}" destId="{24370CA9-F5E2-4604-AB57-86F90EA52FED}" srcOrd="0" destOrd="0" presId="urn:microsoft.com/office/officeart/2005/8/layout/process1"/>
    <dgm:cxn modelId="{CF000E81-A0B5-49AF-A1CB-B1B61B083C9A}" type="presParOf" srcId="{7696B597-DC65-4792-A285-775C921C1174}" destId="{378BF04F-3C2E-4EA7-A62B-50604A259B67}" srcOrd="2" destOrd="0" presId="urn:microsoft.com/office/officeart/2005/8/layout/process1"/>
    <dgm:cxn modelId="{5ACAA195-9591-4785-A6D4-B5F714868DC4}" type="presParOf" srcId="{7696B597-DC65-4792-A285-775C921C1174}" destId="{77B56BB2-D277-4A5D-A377-EC5A07EB0EC3}" srcOrd="3" destOrd="0" presId="urn:microsoft.com/office/officeart/2005/8/layout/process1"/>
    <dgm:cxn modelId="{0ABA22CE-1F26-4852-8F8B-8FEF4895575A}" type="presParOf" srcId="{77B56BB2-D277-4A5D-A377-EC5A07EB0EC3}" destId="{AABC9F5E-C8A5-49E4-A604-CDC805D78D22}" srcOrd="0" destOrd="0" presId="urn:microsoft.com/office/officeart/2005/8/layout/process1"/>
    <dgm:cxn modelId="{EDA5B7EF-5C12-48BF-A60F-DEAC46DEC282}" type="presParOf" srcId="{7696B597-DC65-4792-A285-775C921C1174}" destId="{EFCB345D-1630-4B2B-A4E0-3BA509C9DE7F}" srcOrd="4" destOrd="0" presId="urn:microsoft.com/office/officeart/2005/8/layout/process1"/>
    <dgm:cxn modelId="{B95F20F1-0619-4677-8CF4-40921908C4D9}" type="presParOf" srcId="{7696B597-DC65-4792-A285-775C921C1174}" destId="{6961847D-920C-4909-B559-54B1F47303DB}" srcOrd="5" destOrd="0" presId="urn:microsoft.com/office/officeart/2005/8/layout/process1"/>
    <dgm:cxn modelId="{9BABC22C-1F89-4233-8304-56E8352E4223}" type="presParOf" srcId="{6961847D-920C-4909-B559-54B1F47303DB}" destId="{EF9814FE-703D-4DEC-A6CA-C91A887C6FD3}" srcOrd="0" destOrd="0" presId="urn:microsoft.com/office/officeart/2005/8/layout/process1"/>
    <dgm:cxn modelId="{8B9C306E-7788-482B-A304-3107D5A64784}" type="presParOf" srcId="{7696B597-DC65-4792-A285-775C921C1174}" destId="{E2993FAA-0770-4F8D-85B9-D9A9AB2050CA}" srcOrd="6" destOrd="0" presId="urn:microsoft.com/office/officeart/2005/8/layout/process1"/>
    <dgm:cxn modelId="{8A7DB64A-DCB9-45A5-B5D8-AC88D605A4B1}" type="presParOf" srcId="{7696B597-DC65-4792-A285-775C921C1174}" destId="{EC551934-8A29-4D09-8928-335F9E3A889C}" srcOrd="7" destOrd="0" presId="urn:microsoft.com/office/officeart/2005/8/layout/process1"/>
    <dgm:cxn modelId="{F8373743-018F-40A5-AEE5-7977127FC919}" type="presParOf" srcId="{EC551934-8A29-4D09-8928-335F9E3A889C}" destId="{5DADEE37-90B3-46EE-AB30-B9C621401E76}" srcOrd="0" destOrd="0" presId="urn:microsoft.com/office/officeart/2005/8/layout/process1"/>
    <dgm:cxn modelId="{A9593780-5254-4CBC-AFC0-78781205F588}" type="presParOf" srcId="{7696B597-DC65-4792-A285-775C921C1174}" destId="{9318FAB4-D5D8-4DE1-A27D-1E56ECA2886E}" srcOrd="8" destOrd="0" presId="urn:microsoft.com/office/officeart/2005/8/layout/process1"/>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BDD8C5-4039-4ED1-897E-887CC3CF5425}">
      <dsp:nvSpPr>
        <dsp:cNvPr id="0" name=""/>
        <dsp:cNvSpPr/>
      </dsp:nvSpPr>
      <dsp:spPr>
        <a:xfrm>
          <a:off x="1548" y="327275"/>
          <a:ext cx="586370" cy="54559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v-SE" sz="800" kern="1200">
              <a:solidFill>
                <a:sysClr val="window" lastClr="FFFFFF"/>
              </a:solidFill>
              <a:latin typeface="Calibri" panose="020F0502020204030204"/>
              <a:ea typeface="+mn-ea"/>
              <a:cs typeface="+mn-cs"/>
            </a:rPr>
            <a:t>DCI bits</a:t>
          </a:r>
        </a:p>
      </dsp:txBody>
      <dsp:txXfrm>
        <a:off x="17528" y="343255"/>
        <a:ext cx="554410" cy="513638"/>
      </dsp:txXfrm>
    </dsp:sp>
    <dsp:sp modelId="{60D3BC44-E7AF-4A2E-9EB5-ADD8169BF3A1}">
      <dsp:nvSpPr>
        <dsp:cNvPr id="0" name=""/>
        <dsp:cNvSpPr/>
      </dsp:nvSpPr>
      <dsp:spPr>
        <a:xfrm>
          <a:off x="646555" y="527365"/>
          <a:ext cx="124310" cy="1454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sv-SE" sz="600" kern="1200">
            <a:solidFill>
              <a:sysClr val="window" lastClr="FFFFFF"/>
            </a:solidFill>
            <a:latin typeface="Calibri" panose="020F0502020204030204"/>
            <a:ea typeface="+mn-ea"/>
            <a:cs typeface="+mn-cs"/>
          </a:endParaRPr>
        </a:p>
      </dsp:txBody>
      <dsp:txXfrm>
        <a:off x="646555" y="556449"/>
        <a:ext cx="87017" cy="87251"/>
      </dsp:txXfrm>
    </dsp:sp>
    <dsp:sp modelId="{152635D1-9CDD-415C-BBFF-673D5F772049}">
      <dsp:nvSpPr>
        <dsp:cNvPr id="0" name=""/>
        <dsp:cNvSpPr/>
      </dsp:nvSpPr>
      <dsp:spPr>
        <a:xfrm>
          <a:off x="822466" y="327275"/>
          <a:ext cx="586370" cy="54559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v-SE" sz="800" kern="1200">
              <a:solidFill>
                <a:sysClr val="window" lastClr="FFFFFF"/>
              </a:solidFill>
              <a:latin typeface="Calibri" panose="020F0502020204030204"/>
              <a:ea typeface="+mn-ea"/>
              <a:cs typeface="+mn-cs"/>
            </a:rPr>
            <a:t>D-CRC + RNTI masking +</a:t>
          </a:r>
          <a:endParaRPr lang="en-US" sz="800" kern="1200"/>
        </a:p>
      </dsp:txBody>
      <dsp:txXfrm>
        <a:off x="838446" y="343255"/>
        <a:ext cx="554410" cy="513638"/>
      </dsp:txXfrm>
    </dsp:sp>
    <dsp:sp modelId="{4AA7BEA3-93B6-4DC0-AEC5-A4EBB42C54E0}">
      <dsp:nvSpPr>
        <dsp:cNvPr id="0" name=""/>
        <dsp:cNvSpPr/>
      </dsp:nvSpPr>
      <dsp:spPr>
        <a:xfrm>
          <a:off x="1467473" y="527365"/>
          <a:ext cx="124310" cy="1454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en-US" sz="600" kern="1200"/>
        </a:p>
      </dsp:txBody>
      <dsp:txXfrm>
        <a:off x="1467473" y="556449"/>
        <a:ext cx="87017" cy="87251"/>
      </dsp:txXfrm>
    </dsp:sp>
    <dsp:sp modelId="{378BF04F-3C2E-4EA7-A62B-50604A259B67}">
      <dsp:nvSpPr>
        <dsp:cNvPr id="0" name=""/>
        <dsp:cNvSpPr/>
      </dsp:nvSpPr>
      <dsp:spPr>
        <a:xfrm>
          <a:off x="1643384" y="327275"/>
          <a:ext cx="586370" cy="54559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v-SE" sz="800" kern="1200">
              <a:solidFill>
                <a:sysClr val="window" lastClr="FFFFFF"/>
              </a:solidFill>
              <a:latin typeface="Calibri" panose="020F0502020204030204"/>
              <a:ea typeface="+mn-ea"/>
              <a:cs typeface="+mn-cs"/>
            </a:rPr>
            <a:t>Polar Encoder + Rate-matching</a:t>
          </a:r>
        </a:p>
      </dsp:txBody>
      <dsp:txXfrm>
        <a:off x="1659364" y="343255"/>
        <a:ext cx="554410" cy="513638"/>
      </dsp:txXfrm>
    </dsp:sp>
    <dsp:sp modelId="{77B56BB2-D277-4A5D-A377-EC5A07EB0EC3}">
      <dsp:nvSpPr>
        <dsp:cNvPr id="0" name=""/>
        <dsp:cNvSpPr/>
      </dsp:nvSpPr>
      <dsp:spPr>
        <a:xfrm>
          <a:off x="2288391" y="527365"/>
          <a:ext cx="124310" cy="1454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sv-SE" sz="600" kern="1200">
            <a:solidFill>
              <a:sysClr val="window" lastClr="FFFFFF"/>
            </a:solidFill>
            <a:latin typeface="Calibri" panose="020F0502020204030204"/>
            <a:ea typeface="+mn-ea"/>
            <a:cs typeface="+mn-cs"/>
          </a:endParaRPr>
        </a:p>
      </dsp:txBody>
      <dsp:txXfrm>
        <a:off x="2288391" y="556449"/>
        <a:ext cx="87017" cy="87251"/>
      </dsp:txXfrm>
    </dsp:sp>
    <dsp:sp modelId="{262B586D-1CA9-44DA-BEBE-91D41F8D4C91}">
      <dsp:nvSpPr>
        <dsp:cNvPr id="0" name=""/>
        <dsp:cNvSpPr/>
      </dsp:nvSpPr>
      <dsp:spPr>
        <a:xfrm>
          <a:off x="2464302" y="327275"/>
          <a:ext cx="586370" cy="54559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US" sz="800" kern="1200"/>
            <a:t>PDCCH Scrambling</a:t>
          </a:r>
        </a:p>
      </dsp:txBody>
      <dsp:txXfrm>
        <a:off x="2480282" y="343255"/>
        <a:ext cx="554410" cy="513638"/>
      </dsp:txXfrm>
    </dsp:sp>
    <dsp:sp modelId="{F260F764-6366-4566-B11C-41F2683AB6EE}">
      <dsp:nvSpPr>
        <dsp:cNvPr id="0" name=""/>
        <dsp:cNvSpPr/>
      </dsp:nvSpPr>
      <dsp:spPr>
        <a:xfrm>
          <a:off x="3109309" y="527365"/>
          <a:ext cx="124310" cy="1454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en-US" sz="600" kern="1200"/>
        </a:p>
      </dsp:txBody>
      <dsp:txXfrm>
        <a:off x="3109309" y="556449"/>
        <a:ext cx="87017" cy="87251"/>
      </dsp:txXfrm>
    </dsp:sp>
    <dsp:sp modelId="{EFCB345D-1630-4B2B-A4E0-3BA509C9DE7F}">
      <dsp:nvSpPr>
        <dsp:cNvPr id="0" name=""/>
        <dsp:cNvSpPr/>
      </dsp:nvSpPr>
      <dsp:spPr>
        <a:xfrm>
          <a:off x="3285220" y="327275"/>
          <a:ext cx="586370" cy="54559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v-SE" sz="800" kern="1200">
              <a:solidFill>
                <a:sysClr val="window" lastClr="FFFFFF"/>
              </a:solidFill>
              <a:latin typeface="Calibri" panose="020F0502020204030204"/>
              <a:ea typeface="+mn-ea"/>
              <a:cs typeface="+mn-cs"/>
            </a:rPr>
            <a:t>QPSK Modulation</a:t>
          </a:r>
        </a:p>
      </dsp:txBody>
      <dsp:txXfrm>
        <a:off x="3301200" y="343255"/>
        <a:ext cx="554410" cy="513638"/>
      </dsp:txXfrm>
    </dsp:sp>
    <dsp:sp modelId="{6961847D-920C-4909-B559-54B1F47303DB}">
      <dsp:nvSpPr>
        <dsp:cNvPr id="0" name=""/>
        <dsp:cNvSpPr/>
      </dsp:nvSpPr>
      <dsp:spPr>
        <a:xfrm>
          <a:off x="3930227" y="527365"/>
          <a:ext cx="124310" cy="1454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sv-SE" sz="600" kern="1200">
            <a:solidFill>
              <a:sysClr val="window" lastClr="FFFFFF"/>
            </a:solidFill>
            <a:latin typeface="Calibri" panose="020F0502020204030204"/>
            <a:ea typeface="+mn-ea"/>
            <a:cs typeface="+mn-cs"/>
          </a:endParaRPr>
        </a:p>
      </dsp:txBody>
      <dsp:txXfrm>
        <a:off x="3930227" y="556449"/>
        <a:ext cx="87017" cy="87251"/>
      </dsp:txXfrm>
    </dsp:sp>
    <dsp:sp modelId="{E2993FAA-0770-4F8D-85B9-D9A9AB2050CA}">
      <dsp:nvSpPr>
        <dsp:cNvPr id="0" name=""/>
        <dsp:cNvSpPr/>
      </dsp:nvSpPr>
      <dsp:spPr>
        <a:xfrm>
          <a:off x="4106138" y="327275"/>
          <a:ext cx="586370" cy="54559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v-SE" sz="800" kern="1200">
              <a:solidFill>
                <a:sysClr val="window" lastClr="FFFFFF"/>
              </a:solidFill>
              <a:latin typeface="Calibri" panose="020F0502020204030204"/>
              <a:ea typeface="+mn-ea"/>
              <a:cs typeface="+mn-cs"/>
            </a:rPr>
            <a:t>Time-Frequency mapping</a:t>
          </a:r>
        </a:p>
      </dsp:txBody>
      <dsp:txXfrm>
        <a:off x="4122118" y="343255"/>
        <a:ext cx="554410" cy="513638"/>
      </dsp:txXfrm>
    </dsp:sp>
    <dsp:sp modelId="{EC551934-8A29-4D09-8928-335F9E3A889C}">
      <dsp:nvSpPr>
        <dsp:cNvPr id="0" name=""/>
        <dsp:cNvSpPr/>
      </dsp:nvSpPr>
      <dsp:spPr>
        <a:xfrm>
          <a:off x="4751145" y="527365"/>
          <a:ext cx="124310" cy="1454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sv-SE" sz="600" kern="1200">
            <a:solidFill>
              <a:sysClr val="window" lastClr="FFFFFF"/>
            </a:solidFill>
            <a:latin typeface="Calibri" panose="020F0502020204030204"/>
            <a:ea typeface="+mn-ea"/>
            <a:cs typeface="+mn-cs"/>
          </a:endParaRPr>
        </a:p>
      </dsp:txBody>
      <dsp:txXfrm>
        <a:off x="4751145" y="556449"/>
        <a:ext cx="87017" cy="87251"/>
      </dsp:txXfrm>
    </dsp:sp>
    <dsp:sp modelId="{9318FAB4-D5D8-4DE1-A27D-1E56ECA2886E}">
      <dsp:nvSpPr>
        <dsp:cNvPr id="0" name=""/>
        <dsp:cNvSpPr/>
      </dsp:nvSpPr>
      <dsp:spPr>
        <a:xfrm>
          <a:off x="4927056" y="327275"/>
          <a:ext cx="586370" cy="54559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v-SE" sz="800" kern="1200">
              <a:solidFill>
                <a:sysClr val="window" lastClr="FFFFFF"/>
              </a:solidFill>
              <a:latin typeface="Calibri" panose="020F0502020204030204"/>
              <a:ea typeface="+mn-ea"/>
              <a:cs typeface="+mn-cs"/>
            </a:rPr>
            <a:t>IFFT and CP Addition</a:t>
          </a:r>
        </a:p>
      </dsp:txBody>
      <dsp:txXfrm>
        <a:off x="4943036" y="343255"/>
        <a:ext cx="554410" cy="51363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BDD8C5-4039-4ED1-897E-887CC3CF5425}">
      <dsp:nvSpPr>
        <dsp:cNvPr id="0" name=""/>
        <dsp:cNvSpPr/>
      </dsp:nvSpPr>
      <dsp:spPr>
        <a:xfrm>
          <a:off x="2683" y="75449"/>
          <a:ext cx="831845" cy="589765"/>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v-SE" sz="1000" kern="1200">
              <a:solidFill>
                <a:sysClr val="window" lastClr="FFFFFF"/>
              </a:solidFill>
              <a:latin typeface="Calibri" panose="020F0502020204030204"/>
              <a:ea typeface="+mn-ea"/>
              <a:cs typeface="+mn-cs"/>
            </a:rPr>
            <a:t>CP Removal and FFT</a:t>
          </a:r>
        </a:p>
      </dsp:txBody>
      <dsp:txXfrm>
        <a:off x="19957" y="92723"/>
        <a:ext cx="797297" cy="555217"/>
      </dsp:txXfrm>
    </dsp:sp>
    <dsp:sp modelId="{60D3BC44-E7AF-4A2E-9EB5-ADD8169BF3A1}">
      <dsp:nvSpPr>
        <dsp:cNvPr id="0" name=""/>
        <dsp:cNvSpPr/>
      </dsp:nvSpPr>
      <dsp:spPr>
        <a:xfrm>
          <a:off x="917712" y="267183"/>
          <a:ext cx="176351" cy="206297"/>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sv-SE" sz="800" kern="1200">
            <a:solidFill>
              <a:sysClr val="window" lastClr="FFFFFF"/>
            </a:solidFill>
            <a:latin typeface="Calibri" panose="020F0502020204030204"/>
            <a:ea typeface="+mn-ea"/>
            <a:cs typeface="+mn-cs"/>
          </a:endParaRPr>
        </a:p>
      </dsp:txBody>
      <dsp:txXfrm>
        <a:off x="917712" y="308442"/>
        <a:ext cx="123446" cy="123779"/>
      </dsp:txXfrm>
    </dsp:sp>
    <dsp:sp modelId="{378BF04F-3C2E-4EA7-A62B-50604A259B67}">
      <dsp:nvSpPr>
        <dsp:cNvPr id="0" name=""/>
        <dsp:cNvSpPr/>
      </dsp:nvSpPr>
      <dsp:spPr>
        <a:xfrm>
          <a:off x="1167266" y="75449"/>
          <a:ext cx="831845" cy="589765"/>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v-SE" sz="1000" kern="1200">
              <a:solidFill>
                <a:sysClr val="window" lastClr="FFFFFF"/>
              </a:solidFill>
              <a:latin typeface="Calibri" panose="020F0502020204030204"/>
              <a:ea typeface="+mn-ea"/>
              <a:cs typeface="+mn-cs"/>
            </a:rPr>
            <a:t>DMRS-based Channel Estimation</a:t>
          </a:r>
        </a:p>
      </dsp:txBody>
      <dsp:txXfrm>
        <a:off x="1184540" y="92723"/>
        <a:ext cx="797297" cy="555217"/>
      </dsp:txXfrm>
    </dsp:sp>
    <dsp:sp modelId="{77B56BB2-D277-4A5D-A377-EC5A07EB0EC3}">
      <dsp:nvSpPr>
        <dsp:cNvPr id="0" name=""/>
        <dsp:cNvSpPr/>
      </dsp:nvSpPr>
      <dsp:spPr>
        <a:xfrm>
          <a:off x="2082295" y="267183"/>
          <a:ext cx="176351" cy="206297"/>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sv-SE" sz="800" kern="1200">
            <a:solidFill>
              <a:sysClr val="window" lastClr="FFFFFF"/>
            </a:solidFill>
            <a:latin typeface="Calibri" panose="020F0502020204030204"/>
            <a:ea typeface="+mn-ea"/>
            <a:cs typeface="+mn-cs"/>
          </a:endParaRPr>
        </a:p>
      </dsp:txBody>
      <dsp:txXfrm>
        <a:off x="2082295" y="308442"/>
        <a:ext cx="123446" cy="123779"/>
      </dsp:txXfrm>
    </dsp:sp>
    <dsp:sp modelId="{EFCB345D-1630-4B2B-A4E0-3BA509C9DE7F}">
      <dsp:nvSpPr>
        <dsp:cNvPr id="0" name=""/>
        <dsp:cNvSpPr/>
      </dsp:nvSpPr>
      <dsp:spPr>
        <a:xfrm>
          <a:off x="2331849" y="75449"/>
          <a:ext cx="831845" cy="589765"/>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v-SE" sz="1000" kern="1200">
              <a:solidFill>
                <a:sysClr val="window" lastClr="FFFFFF"/>
              </a:solidFill>
              <a:latin typeface="Calibri" panose="020F0502020204030204"/>
              <a:ea typeface="+mn-ea"/>
              <a:cs typeface="+mn-cs"/>
            </a:rPr>
            <a:t>Polar Decoding </a:t>
          </a:r>
        </a:p>
      </dsp:txBody>
      <dsp:txXfrm>
        <a:off x="2349123" y="92723"/>
        <a:ext cx="797297" cy="555217"/>
      </dsp:txXfrm>
    </dsp:sp>
    <dsp:sp modelId="{6961847D-920C-4909-B559-54B1F47303DB}">
      <dsp:nvSpPr>
        <dsp:cNvPr id="0" name=""/>
        <dsp:cNvSpPr/>
      </dsp:nvSpPr>
      <dsp:spPr>
        <a:xfrm>
          <a:off x="3246879" y="267183"/>
          <a:ext cx="176351" cy="206297"/>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sv-SE" sz="800" kern="1200">
            <a:solidFill>
              <a:sysClr val="window" lastClr="FFFFFF"/>
            </a:solidFill>
            <a:latin typeface="Calibri" panose="020F0502020204030204"/>
            <a:ea typeface="+mn-ea"/>
            <a:cs typeface="+mn-cs"/>
          </a:endParaRPr>
        </a:p>
      </dsp:txBody>
      <dsp:txXfrm>
        <a:off x="3246879" y="308442"/>
        <a:ext cx="123446" cy="123779"/>
      </dsp:txXfrm>
    </dsp:sp>
    <dsp:sp modelId="{E2993FAA-0770-4F8D-85B9-D9A9AB2050CA}">
      <dsp:nvSpPr>
        <dsp:cNvPr id="0" name=""/>
        <dsp:cNvSpPr/>
      </dsp:nvSpPr>
      <dsp:spPr>
        <a:xfrm>
          <a:off x="3496432" y="75449"/>
          <a:ext cx="831845" cy="589765"/>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v-SE" sz="1000" kern="1200">
              <a:solidFill>
                <a:sysClr val="window" lastClr="FFFFFF"/>
              </a:solidFill>
              <a:latin typeface="Calibri" panose="020F0502020204030204"/>
              <a:ea typeface="+mn-ea"/>
              <a:cs typeface="+mn-cs"/>
            </a:rPr>
            <a:t>CRC success ? Yes/No</a:t>
          </a:r>
        </a:p>
      </dsp:txBody>
      <dsp:txXfrm>
        <a:off x="3513706" y="92723"/>
        <a:ext cx="797297" cy="555217"/>
      </dsp:txXfrm>
    </dsp:sp>
    <dsp:sp modelId="{EC551934-8A29-4D09-8928-335F9E3A889C}">
      <dsp:nvSpPr>
        <dsp:cNvPr id="0" name=""/>
        <dsp:cNvSpPr/>
      </dsp:nvSpPr>
      <dsp:spPr>
        <a:xfrm>
          <a:off x="4411462" y="267183"/>
          <a:ext cx="176351" cy="206297"/>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sv-SE" sz="800" kern="1200">
            <a:solidFill>
              <a:sysClr val="window" lastClr="FFFFFF"/>
            </a:solidFill>
            <a:latin typeface="Calibri" panose="020F0502020204030204"/>
            <a:ea typeface="+mn-ea"/>
            <a:cs typeface="+mn-cs"/>
          </a:endParaRPr>
        </a:p>
      </dsp:txBody>
      <dsp:txXfrm>
        <a:off x="4411462" y="308442"/>
        <a:ext cx="123446" cy="123779"/>
      </dsp:txXfrm>
    </dsp:sp>
    <dsp:sp modelId="{9318FAB4-D5D8-4DE1-A27D-1E56ECA2886E}">
      <dsp:nvSpPr>
        <dsp:cNvPr id="0" name=""/>
        <dsp:cNvSpPr/>
      </dsp:nvSpPr>
      <dsp:spPr>
        <a:xfrm>
          <a:off x="4661015" y="75449"/>
          <a:ext cx="831845" cy="589765"/>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v-SE" sz="1000" kern="1200">
              <a:solidFill>
                <a:sysClr val="window" lastClr="FFFFFF"/>
              </a:solidFill>
              <a:latin typeface="Calibri" panose="020F0502020204030204"/>
              <a:ea typeface="+mn-ea"/>
              <a:cs typeface="+mn-cs"/>
            </a:rPr>
            <a:t>If Yes Wake-up </a:t>
          </a:r>
        </a:p>
        <a:p>
          <a:pPr marL="0" lvl="0" indent="0" algn="ctr" defTabSz="444500">
            <a:lnSpc>
              <a:spcPct val="90000"/>
            </a:lnSpc>
            <a:spcBef>
              <a:spcPct val="0"/>
            </a:spcBef>
            <a:spcAft>
              <a:spcPct val="35000"/>
            </a:spcAft>
            <a:buNone/>
          </a:pPr>
          <a:r>
            <a:rPr lang="sv-SE" sz="1000" kern="1200">
              <a:solidFill>
                <a:sysClr val="window" lastClr="FFFFFF"/>
              </a:solidFill>
              <a:latin typeface="Calibri" panose="020F0502020204030204"/>
              <a:ea typeface="+mn-ea"/>
              <a:cs typeface="+mn-cs"/>
            </a:rPr>
            <a:t>else Sleep</a:t>
          </a:r>
        </a:p>
      </dsp:txBody>
      <dsp:txXfrm>
        <a:off x="4678289" y="92723"/>
        <a:ext cx="797297" cy="555217"/>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15</Pages>
  <Words>4536</Words>
  <Characters>25856</Characters>
  <Application>Microsoft Office Word</Application>
  <DocSecurity>0</DocSecurity>
  <Lines>215</Lines>
  <Paragraphs>60</Paragraphs>
  <ScaleCrop>false</ScaleCrop>
  <Company/>
  <LinksUpToDate>false</LinksUpToDate>
  <CharactersWithSpaces>30332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2019-02-16T02:57:00Z</dcterms:created>
  <dcterms:modified xsi:type="dcterms:W3CDTF">2019-02-16T06:32:00Z</dcterms:modified>
</cp:coreProperties>
</file>